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12"/>
      </w:tblGrid>
      <w:tr>
        <w:tc>
          <w:tcPr>
            <w:tcW w:w="3828" w:type="dxa"/>
          </w:tcPr>
          <w:p>
            <w:pPr>
              <w:jc w:val="center"/>
              <w:rPr>
                <w:rFonts w:cs="Times New Roman"/>
                <w:color w:val="000000" w:themeColor="text1"/>
                <w:spacing w:val="-10"/>
                <w:szCs w:val="28"/>
              </w:rPr>
            </w:pPr>
            <w:r>
              <w:rPr>
                <w:rFonts w:cs="Times New Roman"/>
                <w:color w:val="000000" w:themeColor="text1"/>
                <w:spacing w:val="-10"/>
                <w:szCs w:val="28"/>
              </w:rPr>
              <w:t>SỞ Y TẾ HÀ TĨNH</w:t>
            </w:r>
          </w:p>
          <w:p>
            <w:pPr>
              <w:jc w:val="center"/>
              <w:rPr>
                <w:rFonts w:cs="Times New Roman"/>
                <w:b/>
                <w:color w:val="000000" w:themeColor="text1"/>
                <w:spacing w:val="-10"/>
                <w:szCs w:val="28"/>
              </w:rPr>
            </w:pPr>
            <w:r>
              <w:rPr>
                <w:rFonts w:cs="Times New Roman"/>
                <w:b/>
                <w:color w:val="000000" w:themeColor="text1"/>
                <w:spacing w:val="-10"/>
                <w:szCs w:val="28"/>
              </w:rPr>
              <w:t>CHI CỤC AN TOÀN</w:t>
            </w:r>
          </w:p>
          <w:p>
            <w:pPr>
              <w:jc w:val="center"/>
              <w:rPr>
                <w:rFonts w:cs="Times New Roman"/>
                <w:b/>
                <w:color w:val="000000" w:themeColor="text1"/>
                <w:spacing w:val="-10"/>
                <w:szCs w:val="28"/>
              </w:rPr>
            </w:pPr>
            <w:r>
              <w:rPr>
                <w:rFonts w:cs="Times New Roman"/>
                <w:b/>
                <w:color w:val="000000" w:themeColor="text1"/>
                <w:spacing w:val="-10"/>
                <w:szCs w:val="28"/>
              </w:rPr>
              <w:t>VỆ SINH THỰC PHẨM</w:t>
            </w:r>
          </w:p>
        </w:tc>
        <w:tc>
          <w:tcPr>
            <w:tcW w:w="5812" w:type="dxa"/>
          </w:tcPr>
          <w:p>
            <w:pPr>
              <w:jc w:val="center"/>
              <w:rPr>
                <w:rFonts w:cs="Times New Roman"/>
                <w:b/>
                <w:color w:val="000000" w:themeColor="text1"/>
                <w:spacing w:val="-10"/>
                <w:szCs w:val="28"/>
              </w:rPr>
            </w:pPr>
            <w:r>
              <w:rPr>
                <w:rFonts w:cs="Times New Roman"/>
                <w:b/>
                <w:color w:val="000000" w:themeColor="text1"/>
                <w:spacing w:val="-10"/>
                <w:szCs w:val="28"/>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65408" behindDoc="0" locked="0" layoutInCell="1" allowOverlap="1">
                      <wp:simplePos x="0" y="0"/>
                      <wp:positionH relativeFrom="column">
                        <wp:posOffset>862965</wp:posOffset>
                      </wp:positionH>
                      <wp:positionV relativeFrom="paragraph">
                        <wp:posOffset>36195</wp:posOffset>
                      </wp:positionV>
                      <wp:extent cx="1908960" cy="0"/>
                      <wp:effectExtent l="0" t="0" r="34290" b="1905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95pt,2.85pt" to="21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" strokecolor="black [3200]" strokeweight=".5pt">
                      <v:stroke joinstyle="miter"/>
                      <o:lock v:ext="edit" shapetype="f"/>
                    </v:line>
                  </w:pict>
                </mc:Fallback>
              </mc:AlternateContent>
            </w:r>
          </w:p>
        </w:tc>
      </w:tr>
      <w:tr>
        <w:tc>
          <w:tcPr>
            <w:tcW w:w="3828" w:type="dxa"/>
          </w:tcPr>
          <w:p>
            <w:pPr>
              <w:spacing w:before="240" w:after="120"/>
              <w:jc w:val="center"/>
              <w:rPr>
                <w:color w:val="000000" w:themeColor="text1"/>
                <w:spacing w:val="-10"/>
                <w:sz w:val="24"/>
                <w:szCs w:val="24"/>
              </w:rPr>
            </w:pPr>
            <w:r>
              <w:rPr>
                <w:noProof/>
                <w:color w:val="000000" w:themeColor="text1"/>
                <w:spacing w:val="-10"/>
              </w:rPr>
              <mc:AlternateContent>
                <mc:Choice Requires="wps">
                  <w:drawing>
                    <wp:anchor distT="4294967295" distB="4294967295" distL="114300" distR="114300" simplePos="0" relativeHeight="251666432" behindDoc="0" locked="0" layoutInCell="1" allowOverlap="1">
                      <wp:simplePos x="0" y="0"/>
                      <wp:positionH relativeFrom="column">
                        <wp:posOffset>767715</wp:posOffset>
                      </wp:positionH>
                      <wp:positionV relativeFrom="paragraph">
                        <wp:posOffset>29845</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45pt,2.35pt" to="121.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">
                      <o:lock v:ext="edit" shapetype="f"/>
                    </v:line>
                  </w:pict>
                </mc:Fallback>
              </mc:AlternateContent>
            </w:r>
            <w:r>
              <w:rPr>
                <w:color w:val="000000" w:themeColor="text1"/>
                <w:spacing w:val="-10"/>
                <w:sz w:val="26"/>
                <w:szCs w:val="26"/>
              </w:rPr>
              <w:t>Số:            /ATTP-NV</w:t>
            </w:r>
          </w:p>
        </w:tc>
        <w:tc>
          <w:tcPr>
            <w:tcW w:w="5812" w:type="dxa"/>
          </w:tcPr>
          <w:p>
            <w:pPr>
              <w:spacing w:before="240" w:after="120"/>
              <w:jc w:val="center"/>
              <w:rPr>
                <w:color w:val="000000" w:themeColor="text1"/>
                <w:spacing w:val="-10"/>
              </w:rPr>
            </w:pPr>
            <w:r>
              <w:rPr>
                <w:rFonts w:cs="Times New Roman"/>
                <w:i/>
                <w:color w:val="000000" w:themeColor="text1"/>
                <w:spacing w:val="-10"/>
              </w:rPr>
              <w:t>Hà Tĩnh, ngày       tháng        năm 2025</w:t>
            </w:r>
          </w:p>
        </w:tc>
      </w:tr>
      <w:tr>
        <w:tc>
          <w:tcPr>
            <w:tcW w:w="3828" w:type="dxa"/>
          </w:tcPr>
          <w:p>
            <w:pPr>
              <w:jc w:val="center"/>
              <w:rPr>
                <w:color w:val="000000" w:themeColor="text1"/>
                <w:spacing w:val="-10"/>
                <w:sz w:val="24"/>
                <w:szCs w:val="24"/>
              </w:rPr>
            </w:pPr>
            <w:r>
              <w:rPr>
                <w:color w:val="000000" w:themeColor="text1"/>
                <w:spacing w:val="-10"/>
                <w:sz w:val="24"/>
                <w:szCs w:val="24"/>
              </w:rPr>
              <w:t xml:space="preserve">V/v thực hiện các giải pháp đối với sản phẩm </w:t>
            </w:r>
            <w:r>
              <w:rPr>
                <w:sz w:val="24"/>
                <w:szCs w:val="24"/>
              </w:rPr>
              <w:t>thu hồi Giấy tiếp nhận</w:t>
            </w:r>
            <w:r>
              <w:rPr>
                <w:color w:val="000000" w:themeColor="text1"/>
                <w:spacing w:val="-10"/>
                <w:sz w:val="24"/>
                <w:szCs w:val="24"/>
              </w:rPr>
              <w:t xml:space="preserve"> </w:t>
            </w:r>
            <w:r>
              <w:rPr>
                <w:sz w:val="24"/>
                <w:szCs w:val="24"/>
              </w:rPr>
              <w:t xml:space="preserve">đăng ký bản công bố sản phẩm, thu hồi hồ sơ tự công bố sản phẩm của cơ sở </w:t>
            </w:r>
          </w:p>
          <w:p>
            <w:pPr>
              <w:jc w:val="center"/>
              <w:rPr>
                <w:bCs/>
                <w:sz w:val="24"/>
                <w:szCs w:val="24"/>
              </w:rPr>
            </w:pPr>
          </w:p>
        </w:tc>
        <w:tc>
          <w:tcPr>
            <w:tcW w:w="5812" w:type="dxa"/>
          </w:tcPr>
          <w:p>
            <w:pPr>
              <w:jc w:val="center"/>
              <w:rPr>
                <w:i/>
                <w:color w:val="000000" w:themeColor="text1"/>
                <w:spacing w:val="-10"/>
                <w:sz w:val="26"/>
              </w:rPr>
            </w:pPr>
          </w:p>
        </w:tc>
      </w:tr>
    </w:tbl>
    <w:p>
      <w:pPr>
        <w:spacing w:before="120" w:after="120" w:line="240" w:lineRule="auto"/>
        <w:jc w:val="both"/>
        <w:rPr>
          <w:bCs/>
          <w:color w:val="000000" w:themeColor="text1"/>
          <w:spacing w:val="-10"/>
          <w:sz w:val="18"/>
          <w:szCs w:val="18"/>
        </w:rPr>
      </w:pPr>
    </w:p>
    <w:tbl>
      <w:tblPr>
        <w:tblStyle w:val="TableGrid"/>
        <w:tblW w:w="92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5948"/>
      </w:tblGrid>
      <w:tr>
        <w:tc>
          <w:tcPr>
            <w:tcW w:w="3335" w:type="dxa"/>
          </w:tcPr>
          <w:p>
            <w:pPr>
              <w:ind w:left="-57" w:right="-57"/>
              <w:jc w:val="right"/>
              <w:rPr>
                <w:szCs w:val="28"/>
                <w:lang w:val="es-ES"/>
              </w:rPr>
            </w:pPr>
            <w:r>
              <w:rPr>
                <w:szCs w:val="28"/>
                <w:lang w:val="es-ES"/>
              </w:rPr>
              <w:t>Kính gửi:</w:t>
            </w:r>
          </w:p>
        </w:tc>
        <w:tc>
          <w:tcPr>
            <w:tcW w:w="5948" w:type="dxa"/>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18"/>
          <w:szCs w:val="18"/>
        </w:rPr>
      </w:pPr>
    </w:p>
    <w:p>
      <w:pPr>
        <w:ind w:firstLine="720"/>
        <w:jc w:val="both"/>
        <w:rPr>
          <w:color w:val="auto"/>
        </w:rPr>
      </w:pPr>
      <w:r>
        <w:rPr>
          <w:bCs/>
          <w:color w:val="auto"/>
        </w:rPr>
        <w:t xml:space="preserve">Căn cứ các quyết định của Cục An toàn thực phẩm, Bộ Y tế về việc </w:t>
      </w:r>
      <w:r>
        <w:rPr>
          <w:color w:val="auto"/>
        </w:rPr>
        <w:t>thu hồi hiệu lực Giấy tiếp nhận đăng ký bản công bố sản phẩm; các thông báo</w:t>
      </w:r>
      <w:r>
        <w:t xml:space="preserve"> </w:t>
      </w:r>
      <w:r>
        <w:rPr>
          <w:color w:val="auto"/>
        </w:rPr>
        <w:t xml:space="preserve">của Chi cục An toàn vệ sinh thực phẩm các tỉnh về việc đăng tải thông tin liên quan đến việc xin thu hồi hồ sơ Công bố sản phẩm của cơ sở </w:t>
      </w:r>
      <w:r>
        <w:rPr>
          <w:bCs/>
          <w:i/>
          <w:iCs/>
          <w:color w:val="auto"/>
        </w:rPr>
        <w:t>(Phụ lục và các văn bản gửi kèm theo)</w:t>
      </w:r>
      <w:r>
        <w:rPr>
          <w:color w:val="auto"/>
        </w:rPr>
        <w:t>.</w:t>
      </w:r>
    </w:p>
    <w:p>
      <w:pPr>
        <w:spacing w:before="80" w:after="80" w:line="240" w:lineRule="auto"/>
        <w:ind w:firstLine="720"/>
        <w:jc w:val="both"/>
        <w:rPr>
          <w:color w:val="auto"/>
          <w:lang w:val="es-ES"/>
        </w:rPr>
      </w:pPr>
      <w:r>
        <w:rPr>
          <w:color w:val="auto"/>
          <w:lang w:val="es-ES"/>
        </w:rPr>
        <w:t>Để đảm bảo các hoạt động quản lý nhà nước về an toàn thực phẩm và bảo vệ sức khỏe, quyền lợi người tiêu dùng, Chi cục An toàn vệ sinh thực phẩm đề nghị các đơn vị nêu trên theo chức năng, nhiệm vụ tham mưu Ủy ban nhân dân cùng cấp hoặc phối hợp với các đơn vị liên quan tổ chức triển khai thực hiện các nội dung sau:</w:t>
      </w:r>
    </w:p>
    <w:p>
      <w:pPr>
        <w:ind w:firstLine="720"/>
        <w:jc w:val="both"/>
        <w:rPr>
          <w:color w:val="auto"/>
        </w:rPr>
      </w:pPr>
      <w:r>
        <w:rPr>
          <w:color w:val="auto"/>
          <w:lang w:val="es-ES"/>
        </w:rPr>
        <w:t xml:space="preserve">1. </w:t>
      </w:r>
      <w:r>
        <w:rPr>
          <w:color w:val="auto"/>
        </w:rPr>
        <w:t>T</w:t>
      </w:r>
      <w:r>
        <w:rPr>
          <w:color w:val="auto"/>
          <w:lang w:val="es-ES"/>
        </w:rPr>
        <w:t>uyên truyền sâu rộng tới các cơ sở kinh doanh thực phẩm liên quan và người dân không buôn bán, lưu thông,</w:t>
      </w:r>
      <w:r>
        <w:rPr>
          <w:color w:val="auto"/>
        </w:rPr>
        <w:t xml:space="preserve"> sử dụng các sản phẩm thực phẩm đã bị thu hồi hiệu lực (hoặc xin thu hồi hiệu lực) Giấy tiếp nhận đăng ký bản công bố sản phẩm nêu trên</w:t>
      </w:r>
      <w:r>
        <w:rPr>
          <w:bCs/>
          <w:color w:val="auto"/>
        </w:rPr>
        <w:t xml:space="preserve">. </w:t>
      </w:r>
    </w:p>
    <w:p>
      <w:pPr>
        <w:ind w:firstLine="720"/>
        <w:jc w:val="both"/>
        <w:rPr>
          <w:color w:val="auto"/>
          <w:lang w:val="es-ES"/>
        </w:rPr>
      </w:pPr>
      <w:r>
        <w:rPr>
          <w:bCs/>
          <w:color w:val="auto"/>
        </w:rPr>
        <w:t>2. Kiểm tra, rà soát, báo cáo Chi cục An toàn vệ sinh thực phẩm theo quy định./.</w:t>
      </w: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noProof/>
                <w:sz w:val="22"/>
              </w:rPr>
              <mc:AlternateContent>
                <mc:Choice Requires="wps">
                  <w:drawing>
                    <wp:anchor distT="0" distB="0" distL="114300" distR="114300" simplePos="0" relativeHeight="251667456" behindDoc="0" locked="0" layoutInCell="1" allowOverlap="1">
                      <wp:simplePos x="0" y="0"/>
                      <wp:positionH relativeFrom="column">
                        <wp:posOffset>809463</wp:posOffset>
                      </wp:positionH>
                      <wp:positionV relativeFrom="paragraph">
                        <wp:posOffset>46990</wp:posOffset>
                      </wp:positionV>
                      <wp:extent cx="45719" cy="268935"/>
                      <wp:effectExtent l="0" t="0" r="31115" b="17145"/>
                      <wp:wrapNone/>
                      <wp:docPr id="1" name="Right Brace 1"/>
                      <wp:cNvGraphicFramePr/>
                      <a:graphic xmlns:a="http://schemas.openxmlformats.org/drawingml/2006/main">
                        <a:graphicData uri="http://schemas.microsoft.com/office/word/2010/wordprocessingShape">
                          <wps:wsp>
                            <wps:cNvSpPr/>
                            <wps:spPr>
                              <a:xfrm>
                                <a:off x="0" y="0"/>
                                <a:ext cx="45719" cy="26893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06171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3.75pt;margin-top:3.7pt;width:3.6pt;height:21.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" adj="306" strokecolor="#4472c4 [3204]" strokeweight=".5pt">
                      <v:stroke joinstyle="miter"/>
                    </v:shape>
                  </w:pict>
                </mc:Fallback>
              </mc:AlternateContent>
            </w:r>
            <w:r>
              <w:rPr>
                <w:sz w:val="22"/>
              </w:rPr>
              <w:t xml:space="preserve">- Cục ATTP;      (báo </w:t>
            </w:r>
          </w:p>
          <w:p>
            <w:pPr>
              <w:ind w:left="-285" w:firstLine="285"/>
              <w:jc w:val="both"/>
              <w:rPr>
                <w:sz w:val="22"/>
              </w:rPr>
            </w:pPr>
            <w:r>
              <w:rPr>
                <w:sz w:val="22"/>
              </w:rPr>
              <w:t xml:space="preserve">- Sở Y tê;            cáo) </w:t>
            </w:r>
          </w:p>
          <w:p>
            <w:pPr>
              <w:ind w:left="-285" w:firstLine="285"/>
              <w:jc w:val="both"/>
              <w:rPr>
                <w:sz w:val="22"/>
              </w:rPr>
            </w:pPr>
            <w:r>
              <w:rPr>
                <w:sz w:val="22"/>
              </w:rPr>
              <w:t>- Các cơ sở kinh doanh thực phẩm BVSK;</w:t>
            </w:r>
          </w:p>
          <w:p>
            <w:pPr>
              <w:ind w:left="-285" w:firstLine="285"/>
              <w:jc w:val="both"/>
              <w:rPr>
                <w:sz w:val="22"/>
              </w:rPr>
            </w:pPr>
            <w:r>
              <w:rPr>
                <w:sz w:val="22"/>
              </w:rPr>
              <w:t>- Các Phó Chi cục trưởng;</w:t>
            </w:r>
          </w:p>
          <w:p>
            <w:pPr>
              <w:ind w:left="-285" w:firstLine="285"/>
              <w:jc w:val="both"/>
              <w:rPr>
                <w:sz w:val="22"/>
              </w:rPr>
            </w:pPr>
            <w:r>
              <w:rPr>
                <w:sz w:val="22"/>
              </w:rPr>
              <w:t>- Đăng tải trên Website của Chi cục;</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after="0"/>
        <w:jc w:val="center"/>
        <w:rPr>
          <w:b/>
          <w:bCs/>
          <w:color w:val="000000" w:themeColor="text1"/>
          <w:spacing w:val="-10"/>
        </w:rPr>
      </w:pPr>
      <w:r>
        <w:rPr>
          <w:b/>
          <w:bCs/>
          <w:color w:val="000000" w:themeColor="text1"/>
          <w:spacing w:val="-10"/>
        </w:rPr>
        <w:lastRenderedPageBreak/>
        <w:t>Phụ lục</w:t>
      </w:r>
    </w:p>
    <w:p>
      <w:pPr>
        <w:spacing w:after="0"/>
        <w:jc w:val="center"/>
        <w:rPr>
          <w:b/>
          <w:bCs/>
          <w:color w:val="000000" w:themeColor="text1"/>
          <w:spacing w:val="-10"/>
        </w:rPr>
      </w:pPr>
      <w:r>
        <w:rPr>
          <w:b/>
          <w:bCs/>
          <w:color w:val="000000" w:themeColor="text1"/>
          <w:spacing w:val="-10"/>
        </w:rPr>
        <w:t xml:space="preserve">DANH SÁCH CÁC VĂN BẢN CỦA CỤC AN TOÀN THỰC PHẨM </w:t>
      </w:r>
    </w:p>
    <w:p>
      <w:pPr>
        <w:spacing w:after="0"/>
        <w:jc w:val="center"/>
        <w:rPr>
          <w:b/>
          <w:bCs/>
          <w:color w:val="000000" w:themeColor="text1"/>
          <w:spacing w:val="-10"/>
        </w:rPr>
      </w:pPr>
      <w:r>
        <w:rPr>
          <w:b/>
          <w:bCs/>
          <w:color w:val="000000" w:themeColor="text1"/>
          <w:spacing w:val="-10"/>
        </w:rPr>
        <w:t xml:space="preserve"> VÀ CÁC CHI CỤC AN TOÀN THỰC PHẨM  TUYẾN TỈNH </w:t>
      </w:r>
    </w:p>
    <w:p>
      <w:pPr>
        <w:spacing w:after="0"/>
        <w:jc w:val="center"/>
        <w:rPr>
          <w:i/>
          <w:iCs/>
          <w:color w:val="000000" w:themeColor="text1"/>
          <w:spacing w:val="-10"/>
        </w:rPr>
      </w:pPr>
      <w:r>
        <w:rPr>
          <w:i/>
          <w:iCs/>
          <w:color w:val="000000" w:themeColor="text1"/>
          <w:spacing w:val="-10"/>
        </w:rPr>
        <w:t>(Kèm theo Văn bản số ………/ATTP-NV ngày        / 5 /2025)</w:t>
      </w:r>
    </w:p>
    <w:p>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69504" behindDoc="0" locked="0" layoutInCell="1" allowOverlap="1">
                <wp:simplePos x="0" y="0"/>
                <wp:positionH relativeFrom="column">
                  <wp:posOffset>1701165</wp:posOffset>
                </wp:positionH>
                <wp:positionV relativeFrom="paragraph">
                  <wp:posOffset>43180</wp:posOffset>
                </wp:positionV>
                <wp:extent cx="2247900" cy="0"/>
                <wp:effectExtent l="0" t="0" r="0" b="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76600298"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95pt,3.4pt" to="310.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" strokecolor="black [3200]" strokeweight=".5pt">
                <v:stroke joinstyle="miter"/>
              </v:line>
            </w:pict>
          </mc:Fallback>
        </mc:AlternateContent>
      </w:r>
    </w:p>
    <w:tbl>
      <w:tblPr>
        <w:tblStyle w:val="TableGrid"/>
        <w:tblW w:w="9894" w:type="dxa"/>
        <w:tblInd w:w="-455" w:type="dxa"/>
        <w:tblLook w:val="04A0" w:firstRow="1" w:lastRow="0" w:firstColumn="1" w:lastColumn="0" w:noHBand="0" w:noVBand="1"/>
      </w:tblPr>
      <w:tblGrid>
        <w:gridCol w:w="570"/>
        <w:gridCol w:w="2999"/>
        <w:gridCol w:w="1417"/>
        <w:gridCol w:w="2835"/>
        <w:gridCol w:w="2073"/>
      </w:tblGrid>
      <w:tr>
        <w:tc>
          <w:tcPr>
            <w:tcW w:w="570" w:type="dxa"/>
            <w:vAlign w:val="center"/>
          </w:tcPr>
          <w:p>
            <w:pPr>
              <w:jc w:val="center"/>
              <w:rPr>
                <w:b/>
                <w:bCs/>
                <w:color w:val="000000" w:themeColor="text1"/>
                <w:spacing w:val="-10"/>
              </w:rPr>
            </w:pPr>
            <w:r>
              <w:rPr>
                <w:b/>
                <w:bCs/>
                <w:color w:val="000000" w:themeColor="text1"/>
                <w:spacing w:val="-10"/>
              </w:rPr>
              <w:t>TT</w:t>
            </w:r>
          </w:p>
        </w:tc>
        <w:tc>
          <w:tcPr>
            <w:tcW w:w="2999" w:type="dxa"/>
            <w:vAlign w:val="center"/>
          </w:tcPr>
          <w:p>
            <w:pPr>
              <w:jc w:val="center"/>
              <w:rPr>
                <w:b/>
                <w:bCs/>
                <w:color w:val="000000" w:themeColor="text1"/>
                <w:spacing w:val="-10"/>
              </w:rPr>
            </w:pPr>
            <w:r>
              <w:rPr>
                <w:b/>
                <w:bCs/>
                <w:color w:val="000000" w:themeColor="text1"/>
                <w:spacing w:val="-10"/>
              </w:rPr>
              <w:t>Số, ký hiệu</w:t>
            </w:r>
          </w:p>
        </w:tc>
        <w:tc>
          <w:tcPr>
            <w:tcW w:w="1417" w:type="dxa"/>
            <w:vAlign w:val="center"/>
          </w:tcPr>
          <w:p>
            <w:pPr>
              <w:jc w:val="center"/>
              <w:rPr>
                <w:b/>
                <w:bCs/>
                <w:color w:val="000000" w:themeColor="text1"/>
                <w:spacing w:val="-10"/>
              </w:rPr>
            </w:pPr>
            <w:r>
              <w:rPr>
                <w:b/>
                <w:bCs/>
                <w:color w:val="000000" w:themeColor="text1"/>
                <w:spacing w:val="-10"/>
              </w:rPr>
              <w:t>Ngày ban hành</w:t>
            </w:r>
          </w:p>
        </w:tc>
        <w:tc>
          <w:tcPr>
            <w:tcW w:w="2835" w:type="dxa"/>
            <w:vAlign w:val="center"/>
          </w:tcPr>
          <w:p>
            <w:pPr>
              <w:jc w:val="center"/>
              <w:rPr>
                <w:b/>
                <w:bCs/>
                <w:color w:val="000000" w:themeColor="text1"/>
                <w:spacing w:val="-10"/>
              </w:rPr>
            </w:pPr>
            <w:r>
              <w:rPr>
                <w:b/>
                <w:bCs/>
                <w:color w:val="000000" w:themeColor="text1"/>
                <w:spacing w:val="-10"/>
              </w:rPr>
              <w:t>Trích yếu</w:t>
            </w:r>
          </w:p>
        </w:tc>
        <w:tc>
          <w:tcPr>
            <w:tcW w:w="2073" w:type="dxa"/>
          </w:tcPr>
          <w:p>
            <w:pPr>
              <w:jc w:val="center"/>
              <w:rPr>
                <w:b/>
                <w:bCs/>
                <w:color w:val="000000" w:themeColor="text1"/>
                <w:spacing w:val="-10"/>
              </w:rPr>
            </w:pPr>
            <w:r>
              <w:rPr>
                <w:b/>
                <w:bCs/>
                <w:color w:val="000000" w:themeColor="text1"/>
                <w:spacing w:val="-10"/>
              </w:rPr>
              <w:t>Cơ quan</w:t>
            </w:r>
          </w:p>
          <w:p>
            <w:pPr>
              <w:jc w:val="center"/>
              <w:rPr>
                <w:b/>
                <w:bCs/>
                <w:color w:val="000000" w:themeColor="text1"/>
                <w:spacing w:val="-10"/>
              </w:rPr>
            </w:pPr>
            <w:r>
              <w:rPr>
                <w:b/>
                <w:bCs/>
                <w:color w:val="000000" w:themeColor="text1"/>
                <w:spacing w:val="-10"/>
              </w:rPr>
              <w:t>ban hành</w:t>
            </w:r>
          </w:p>
        </w:tc>
      </w:tr>
      <w:tr>
        <w:tc>
          <w:tcPr>
            <w:tcW w:w="570" w:type="dxa"/>
            <w:vAlign w:val="center"/>
          </w:tcPr>
          <w:p>
            <w:pPr>
              <w:jc w:val="center"/>
              <w:rPr>
                <w:iCs/>
                <w:color w:val="000000" w:themeColor="text1"/>
                <w:spacing w:val="-10"/>
              </w:rPr>
            </w:pPr>
            <w:r>
              <w:rPr>
                <w:iCs/>
                <w:color w:val="000000" w:themeColor="text1"/>
                <w:spacing w:val="-10"/>
              </w:rPr>
              <w:t>1</w:t>
            </w:r>
          </w:p>
        </w:tc>
        <w:tc>
          <w:tcPr>
            <w:tcW w:w="2999" w:type="dxa"/>
            <w:vAlign w:val="center"/>
          </w:tcPr>
          <w:p>
            <w:pPr>
              <w:rPr>
                <w:iCs/>
                <w:color w:val="000000" w:themeColor="text1"/>
                <w:spacing w:val="-10"/>
                <w:sz w:val="24"/>
                <w:szCs w:val="24"/>
              </w:rPr>
            </w:pPr>
            <w:r>
              <w:rPr>
                <w:iCs/>
                <w:color w:val="000000" w:themeColor="text1"/>
                <w:spacing w:val="-10"/>
                <w:sz w:val="24"/>
                <w:szCs w:val="24"/>
              </w:rPr>
              <w:t>Số: 25,26,27,28/QĐ-ATTP</w:t>
            </w:r>
          </w:p>
        </w:tc>
        <w:tc>
          <w:tcPr>
            <w:tcW w:w="1417" w:type="dxa"/>
            <w:vAlign w:val="center"/>
          </w:tcPr>
          <w:p>
            <w:pPr>
              <w:jc w:val="center"/>
              <w:rPr>
                <w:iCs/>
                <w:color w:val="000000" w:themeColor="text1"/>
                <w:spacing w:val="-10"/>
                <w:sz w:val="24"/>
                <w:szCs w:val="24"/>
              </w:rPr>
            </w:pPr>
            <w:r>
              <w:rPr>
                <w:iCs/>
                <w:color w:val="000000" w:themeColor="text1"/>
                <w:spacing w:val="-10"/>
                <w:sz w:val="24"/>
                <w:szCs w:val="24"/>
              </w:rPr>
              <w:t>16/5/2025</w:t>
            </w:r>
          </w:p>
        </w:tc>
        <w:tc>
          <w:tcPr>
            <w:tcW w:w="2835" w:type="dxa"/>
          </w:tcPr>
          <w:p>
            <w:pPr>
              <w:jc w:val="both"/>
              <w:rPr>
                <w:rFonts w:ascii="Vn" w:hAnsi="Vn"/>
                <w:sz w:val="24"/>
                <w:szCs w:val="24"/>
              </w:rPr>
            </w:pPr>
            <w:r>
              <w:rPr>
                <w:sz w:val="24"/>
                <w:szCs w:val="24"/>
              </w:rPr>
              <w:t>Về việc thu hồi hiệu lực Giấy tiếp nhận đăng ký bản công bố sản phẩm</w:t>
            </w:r>
          </w:p>
        </w:tc>
        <w:tc>
          <w:tcPr>
            <w:tcW w:w="2073" w:type="dxa"/>
          </w:tcPr>
          <w:p>
            <w:pPr>
              <w:jc w:val="both"/>
              <w:rPr>
                <w:sz w:val="24"/>
                <w:szCs w:val="24"/>
              </w:rPr>
            </w:pPr>
            <w:r>
              <w:rPr>
                <w:sz w:val="24"/>
                <w:szCs w:val="24"/>
              </w:rPr>
              <w:t>Chi cục an toàn vệ sinh thực phẩm tỉnh Hải Dương</w:t>
            </w:r>
          </w:p>
        </w:tc>
      </w:tr>
      <w:tr>
        <w:tc>
          <w:tcPr>
            <w:tcW w:w="570" w:type="dxa"/>
            <w:vAlign w:val="center"/>
          </w:tcPr>
          <w:p>
            <w:pPr>
              <w:jc w:val="center"/>
              <w:rPr>
                <w:iCs/>
                <w:color w:val="000000" w:themeColor="text1"/>
                <w:spacing w:val="-10"/>
              </w:rPr>
            </w:pPr>
            <w:r>
              <w:rPr>
                <w:iCs/>
                <w:color w:val="000000" w:themeColor="text1"/>
                <w:spacing w:val="-10"/>
              </w:rPr>
              <w:t>2</w:t>
            </w:r>
          </w:p>
        </w:tc>
        <w:tc>
          <w:tcPr>
            <w:tcW w:w="2999" w:type="dxa"/>
            <w:vAlign w:val="center"/>
          </w:tcPr>
          <w:p>
            <w:pPr>
              <w:rPr>
                <w:iCs/>
                <w:color w:val="000000" w:themeColor="text1"/>
                <w:spacing w:val="-10"/>
                <w:sz w:val="24"/>
                <w:szCs w:val="24"/>
              </w:rPr>
            </w:pPr>
            <w:r>
              <w:rPr>
                <w:iCs/>
                <w:color w:val="000000" w:themeColor="text1"/>
                <w:spacing w:val="-10"/>
                <w:sz w:val="24"/>
                <w:szCs w:val="24"/>
              </w:rPr>
              <w:t>Số: 140,141,142,143,144,</w:t>
            </w:r>
          </w:p>
          <w:p>
            <w:pPr>
              <w:rPr>
                <w:iCs/>
                <w:color w:val="000000" w:themeColor="text1"/>
                <w:spacing w:val="-10"/>
                <w:sz w:val="24"/>
                <w:szCs w:val="24"/>
              </w:rPr>
            </w:pPr>
            <w:r>
              <w:rPr>
                <w:iCs/>
                <w:color w:val="000000" w:themeColor="text1"/>
                <w:spacing w:val="-10"/>
                <w:sz w:val="24"/>
                <w:szCs w:val="24"/>
              </w:rPr>
              <w:t>145,146/ATTP-VP</w:t>
            </w:r>
          </w:p>
        </w:tc>
        <w:tc>
          <w:tcPr>
            <w:tcW w:w="1417" w:type="dxa"/>
            <w:vAlign w:val="center"/>
          </w:tcPr>
          <w:p>
            <w:pPr>
              <w:jc w:val="center"/>
              <w:rPr>
                <w:iCs/>
                <w:color w:val="000000" w:themeColor="text1"/>
                <w:spacing w:val="-10"/>
                <w:sz w:val="24"/>
                <w:szCs w:val="24"/>
              </w:rPr>
            </w:pPr>
            <w:r>
              <w:rPr>
                <w:iCs/>
                <w:color w:val="000000" w:themeColor="text1"/>
                <w:spacing w:val="-10"/>
                <w:sz w:val="24"/>
                <w:szCs w:val="24"/>
              </w:rPr>
              <w:t>19/5/2025</w:t>
            </w:r>
          </w:p>
        </w:tc>
        <w:tc>
          <w:tcPr>
            <w:tcW w:w="2835" w:type="dxa"/>
          </w:tcPr>
          <w:p>
            <w:pPr>
              <w:jc w:val="both"/>
              <w:rPr>
                <w:sz w:val="24"/>
                <w:szCs w:val="24"/>
              </w:rPr>
            </w:pPr>
            <w:r>
              <w:rPr>
                <w:sz w:val="24"/>
                <w:szCs w:val="24"/>
              </w:rPr>
              <w:t>Về việc đăng tải thông tin liên quan đến việc xin thu hồi hồ sơ Công bố sản phẩm của cơ sở</w:t>
            </w:r>
          </w:p>
        </w:tc>
        <w:tc>
          <w:tcPr>
            <w:tcW w:w="2073" w:type="dxa"/>
          </w:tcPr>
          <w:p>
            <w:pPr>
              <w:jc w:val="both"/>
              <w:rPr>
                <w:sz w:val="24"/>
                <w:szCs w:val="24"/>
              </w:rPr>
            </w:pPr>
            <w:r>
              <w:rPr>
                <w:sz w:val="24"/>
                <w:szCs w:val="24"/>
              </w:rPr>
              <w:t>Chi cục an toàn vệ sinh thực phẩm tỉnh Hưng Yên</w:t>
            </w:r>
          </w:p>
        </w:tc>
      </w:tr>
      <w:tr>
        <w:tc>
          <w:tcPr>
            <w:tcW w:w="570" w:type="dxa"/>
            <w:vAlign w:val="center"/>
          </w:tcPr>
          <w:p>
            <w:pPr>
              <w:jc w:val="center"/>
              <w:rPr>
                <w:iCs/>
                <w:color w:val="000000" w:themeColor="text1"/>
                <w:spacing w:val="-10"/>
              </w:rPr>
            </w:pPr>
            <w:r>
              <w:rPr>
                <w:iCs/>
                <w:color w:val="000000" w:themeColor="text1"/>
                <w:spacing w:val="-10"/>
              </w:rPr>
              <w:t>3</w:t>
            </w:r>
          </w:p>
        </w:tc>
        <w:tc>
          <w:tcPr>
            <w:tcW w:w="2999" w:type="dxa"/>
            <w:vAlign w:val="center"/>
          </w:tcPr>
          <w:p>
            <w:pPr>
              <w:rPr>
                <w:iCs/>
                <w:color w:val="000000" w:themeColor="text1"/>
                <w:spacing w:val="-10"/>
                <w:sz w:val="24"/>
                <w:szCs w:val="24"/>
              </w:rPr>
            </w:pPr>
            <w:r>
              <w:rPr>
                <w:iCs/>
                <w:color w:val="000000" w:themeColor="text1"/>
                <w:spacing w:val="-10"/>
                <w:sz w:val="24"/>
                <w:szCs w:val="24"/>
              </w:rPr>
              <w:t>Số: 223,224,225,226,227,228, 229,230,231,232,238,239,240/</w:t>
            </w:r>
          </w:p>
          <w:p>
            <w:pPr>
              <w:rPr>
                <w:i/>
                <w:iCs/>
                <w:color w:val="000000" w:themeColor="text1"/>
                <w:spacing w:val="-10"/>
                <w:sz w:val="24"/>
                <w:szCs w:val="24"/>
              </w:rPr>
            </w:pPr>
            <w:r>
              <w:rPr>
                <w:iCs/>
                <w:color w:val="000000" w:themeColor="text1"/>
                <w:spacing w:val="-10"/>
                <w:sz w:val="24"/>
                <w:szCs w:val="24"/>
              </w:rPr>
              <w:t>QĐ-ATTP</w:t>
            </w:r>
          </w:p>
        </w:tc>
        <w:tc>
          <w:tcPr>
            <w:tcW w:w="1417" w:type="dxa"/>
            <w:vAlign w:val="center"/>
          </w:tcPr>
          <w:p>
            <w:pPr>
              <w:jc w:val="center"/>
              <w:rPr>
                <w:iCs/>
                <w:color w:val="000000" w:themeColor="text1"/>
                <w:spacing w:val="-10"/>
                <w:sz w:val="24"/>
                <w:szCs w:val="24"/>
              </w:rPr>
            </w:pPr>
            <w:r>
              <w:rPr>
                <w:color w:val="000000" w:themeColor="text1"/>
                <w:sz w:val="24"/>
                <w:szCs w:val="24"/>
              </w:rPr>
              <w:t>20/5/2025</w:t>
            </w:r>
          </w:p>
        </w:tc>
        <w:tc>
          <w:tcPr>
            <w:tcW w:w="2835" w:type="dxa"/>
          </w:tcPr>
          <w:p>
            <w:pPr>
              <w:jc w:val="both"/>
              <w:rPr>
                <w:i/>
                <w:iCs/>
                <w:color w:val="000000" w:themeColor="text1"/>
                <w:spacing w:val="-10"/>
                <w:sz w:val="24"/>
                <w:szCs w:val="24"/>
              </w:rPr>
            </w:pPr>
            <w:r>
              <w:rPr>
                <w:sz w:val="24"/>
                <w:szCs w:val="24"/>
              </w:rPr>
              <w:t>Về việc thu hồi hiệu lực Giấy tiếp nhận đăng ký bản công bố của sản phẩm thực phẩm bảo vệ sức khoẻ</w:t>
            </w:r>
          </w:p>
        </w:tc>
        <w:tc>
          <w:tcPr>
            <w:tcW w:w="2073" w:type="dxa"/>
          </w:tcPr>
          <w:p>
            <w:pPr>
              <w:jc w:val="both"/>
              <w:rPr>
                <w:sz w:val="24"/>
                <w:szCs w:val="24"/>
              </w:rPr>
            </w:pPr>
          </w:p>
          <w:p>
            <w:pPr>
              <w:jc w:val="both"/>
              <w:rPr>
                <w:sz w:val="24"/>
                <w:szCs w:val="24"/>
              </w:rPr>
            </w:pPr>
            <w:r>
              <w:rPr>
                <w:sz w:val="24"/>
                <w:szCs w:val="24"/>
              </w:rPr>
              <w:t>Cục an toàn thực phẩm - Bộ Y tế</w:t>
            </w:r>
          </w:p>
        </w:tc>
      </w:tr>
    </w:tbl>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color w:val="000000" w:themeColor="text1"/>
          <w:spacing w:val="-10"/>
        </w:rPr>
      </w:pPr>
    </w:p>
    <w:p>
      <w:pPr>
        <w:spacing w:after="0"/>
        <w:rPr>
          <w:b/>
          <w:bCs/>
          <w:color w:val="000000" w:themeColor="text1"/>
          <w:spacing w:val="-10"/>
        </w:rPr>
      </w:pPr>
    </w:p>
    <w:sectPr>
      <w:pgSz w:w="11907" w:h="16840" w:code="9"/>
      <w:pgMar w:top="900" w:right="1134" w:bottom="62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3E595A-F518-4138-BA28-A2B062F3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8DEC0-6246-41A1-B045-D4C45F09D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7</cp:revision>
  <dcterms:created xsi:type="dcterms:W3CDTF">2025-05-21T01:43:00Z</dcterms:created>
  <dcterms:modified xsi:type="dcterms:W3CDTF">2025-05-21T02:09:00Z</dcterms:modified>
</cp:coreProperties>
</file>