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AA31E8" w:rsidRPr="00AA31E8" w:rsidTr="00AA31E8">
        <w:tc>
          <w:tcPr>
            <w:tcW w:w="3348" w:type="dxa"/>
            <w:shd w:val="clear" w:color="auto" w:fill="FFFFFF"/>
            <w:tcMar>
              <w:top w:w="0" w:type="dxa"/>
              <w:left w:w="108" w:type="dxa"/>
              <w:bottom w:w="0" w:type="dxa"/>
              <w:right w:w="108" w:type="dxa"/>
            </w:tcMa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ỦY BAN NHÂN DÂN</w:t>
            </w:r>
            <w:r w:rsidRPr="00AA31E8">
              <w:rPr>
                <w:rFonts w:ascii="Helvetica" w:eastAsia="Times New Roman" w:hAnsi="Helvetica" w:cs="Helvetica"/>
                <w:b/>
                <w:bCs/>
                <w:color w:val="646464"/>
                <w:sz w:val="20"/>
                <w:szCs w:val="20"/>
              </w:rPr>
              <w:br/>
              <w:t>TỈNH HÀ TĨNH</w:t>
            </w:r>
            <w:r w:rsidRPr="00AA31E8">
              <w:rPr>
                <w:rFonts w:ascii="Helvetica" w:eastAsia="Times New Roman" w:hAnsi="Helvetica" w:cs="Helvetica"/>
                <w:b/>
                <w:bCs/>
                <w:color w:val="646464"/>
                <w:sz w:val="20"/>
                <w:szCs w:val="20"/>
              </w:rPr>
              <w:br/>
              <w:t>-------</w:t>
            </w:r>
          </w:p>
        </w:tc>
        <w:tc>
          <w:tcPr>
            <w:tcW w:w="5508" w:type="dxa"/>
            <w:shd w:val="clear" w:color="auto" w:fill="FFFFFF"/>
            <w:tcMar>
              <w:top w:w="0" w:type="dxa"/>
              <w:left w:w="108" w:type="dxa"/>
              <w:bottom w:w="0" w:type="dxa"/>
              <w:right w:w="108" w:type="dxa"/>
            </w:tcMa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CỘNG HÒA XÃ HỘI CHỦ NGHĨA VIỆT NAM</w:t>
            </w:r>
            <w:r w:rsidRPr="00AA31E8">
              <w:rPr>
                <w:rFonts w:ascii="Helvetica" w:eastAsia="Times New Roman" w:hAnsi="Helvetica" w:cs="Helvetica"/>
                <w:b/>
                <w:bCs/>
                <w:color w:val="646464"/>
                <w:sz w:val="20"/>
                <w:szCs w:val="20"/>
              </w:rPr>
              <w:br/>
              <w:t>Độc lập - Tự do - Hạnh phúc </w:t>
            </w:r>
            <w:r w:rsidRPr="00AA31E8">
              <w:rPr>
                <w:rFonts w:ascii="Helvetica" w:eastAsia="Times New Roman" w:hAnsi="Helvetica" w:cs="Helvetica"/>
                <w:b/>
                <w:bCs/>
                <w:color w:val="646464"/>
                <w:sz w:val="20"/>
                <w:szCs w:val="20"/>
              </w:rPr>
              <w:br/>
              <w:t>---------------</w:t>
            </w:r>
          </w:p>
        </w:tc>
      </w:tr>
      <w:tr w:rsidR="00AA31E8" w:rsidRPr="00AA31E8" w:rsidTr="00AA31E8">
        <w:tc>
          <w:tcPr>
            <w:tcW w:w="3348" w:type="dxa"/>
            <w:shd w:val="clear" w:color="auto" w:fill="FFFFFF"/>
            <w:tcMar>
              <w:top w:w="0" w:type="dxa"/>
              <w:left w:w="108" w:type="dxa"/>
              <w:bottom w:w="0" w:type="dxa"/>
              <w:right w:w="108" w:type="dxa"/>
            </w:tcMa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Số: 1904/QĐ-UBND</w:t>
            </w:r>
          </w:p>
        </w:tc>
        <w:tc>
          <w:tcPr>
            <w:tcW w:w="5508" w:type="dxa"/>
            <w:shd w:val="clear" w:color="auto" w:fill="FFFFFF"/>
            <w:tcMar>
              <w:top w:w="0" w:type="dxa"/>
              <w:left w:w="108" w:type="dxa"/>
              <w:bottom w:w="0" w:type="dxa"/>
              <w:right w:w="108" w:type="dxa"/>
            </w:tcMar>
            <w:hideMark/>
          </w:tcPr>
          <w:p w:rsidR="00AA31E8" w:rsidRPr="00AA31E8" w:rsidRDefault="00AA31E8" w:rsidP="00AA31E8">
            <w:pPr>
              <w:spacing w:after="120" w:line="240" w:lineRule="auto"/>
              <w:jc w:val="right"/>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Hà Tĩnh, ngày 06 tháng 7 năm 2017</w:t>
            </w:r>
          </w:p>
        </w:tc>
      </w:tr>
    </w:tbl>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 </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1"/>
          <w:szCs w:val="21"/>
        </w:rPr>
        <w:t>QUYẾT ĐỊNH</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VỀ VIỆC CÔNG BỐ THỦ TỤC HÀNH CHÍNH THUỘC THẨM QUYỀN GIẢI QUYẾT CỦA SỞ Y TẾ TỈNH HÀ TĨNH</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1"/>
          <w:szCs w:val="21"/>
        </w:rPr>
        <w:t>CHỦ TỊCH ỦY BAN NHÂN DÂN TỈNH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Căn cứ Luật Tổ chức chính quyền địa phương ngày 19/6/2015;</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Căn cứ Nghị định số </w:t>
      </w:r>
      <w:hyperlink r:id="rId5" w:tooltip="Xem văn bản  63/2010/NĐ-CP" w:history="1">
        <w:r w:rsidRPr="00AA31E8">
          <w:rPr>
            <w:rFonts w:ascii="Helvetica" w:eastAsia="Times New Roman" w:hAnsi="Helvetica" w:cs="Helvetica"/>
            <w:i/>
            <w:iCs/>
            <w:color w:val="5C90D2"/>
            <w:sz w:val="20"/>
            <w:szCs w:val="20"/>
            <w:u w:val="single"/>
          </w:rPr>
          <w:t>63/2010/NĐ-CP</w:t>
        </w:r>
      </w:hyperlink>
      <w:r w:rsidRPr="00AA31E8">
        <w:rPr>
          <w:rFonts w:ascii="Helvetica" w:eastAsia="Times New Roman" w:hAnsi="Helvetica" w:cs="Helvetica"/>
          <w:i/>
          <w:iCs/>
          <w:color w:val="646464"/>
          <w:sz w:val="20"/>
          <w:szCs w:val="20"/>
        </w:rPr>
        <w:t> ngày 08/6/2010 của Chính phủ về kiểm soát thủ tục hành chính;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Căn cứ Nghị định số </w:t>
      </w:r>
      <w:hyperlink r:id="rId6" w:tooltip="Xem văn bản  48/2013/NĐ-CP" w:history="1">
        <w:r w:rsidRPr="00AA31E8">
          <w:rPr>
            <w:rFonts w:ascii="Helvetica" w:eastAsia="Times New Roman" w:hAnsi="Helvetica" w:cs="Helvetica"/>
            <w:i/>
            <w:iCs/>
            <w:color w:val="5C90D2"/>
            <w:sz w:val="20"/>
            <w:szCs w:val="20"/>
            <w:u w:val="single"/>
          </w:rPr>
          <w:t>48/2013/NĐ-CP</w:t>
        </w:r>
      </w:hyperlink>
      <w:r w:rsidRPr="00AA31E8">
        <w:rPr>
          <w:rFonts w:ascii="Helvetica" w:eastAsia="Times New Roman" w:hAnsi="Helvetica" w:cs="Helvetica"/>
          <w:i/>
          <w:iCs/>
          <w:color w:val="646464"/>
          <w:sz w:val="20"/>
          <w:szCs w:val="20"/>
        </w:rPr>
        <w:t> ngày 14/5/2013 của Chính phủ sửa đổi, bổ sung một số điều của các nghị định liên quan đến kiểm soát thủ tục hành chính;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Căn cứ Thông tư số </w:t>
      </w:r>
      <w:hyperlink r:id="rId7" w:tooltip="Xem văn bản  05/2014/TT-BTP" w:history="1">
        <w:r w:rsidRPr="00AA31E8">
          <w:rPr>
            <w:rFonts w:ascii="Helvetica" w:eastAsia="Times New Roman" w:hAnsi="Helvetica" w:cs="Helvetica"/>
            <w:i/>
            <w:iCs/>
            <w:color w:val="5C90D2"/>
            <w:sz w:val="20"/>
            <w:szCs w:val="20"/>
            <w:u w:val="single"/>
          </w:rPr>
          <w:t>05/2014/TT-BTP</w:t>
        </w:r>
      </w:hyperlink>
      <w:r w:rsidRPr="00AA31E8">
        <w:rPr>
          <w:rFonts w:ascii="Helvetica" w:eastAsia="Times New Roman" w:hAnsi="Helvetica" w:cs="Helvetica"/>
          <w:i/>
          <w:iCs/>
          <w:color w:val="646464"/>
          <w:sz w:val="20"/>
          <w:szCs w:val="20"/>
        </w:rPr>
        <w:t> ngày 07/02/2014 của Bộ Tư pháp hướng dẫn công bố, niêm yết thủ tục hành chính và báo cáo về tình hình, kết quả thực hiện kiểm soát thủ tục hành chính;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rPr>
        <w:t>Xét đề nghị của Giám đốc Sở Y tế tại Văn bản số 1276/SYT-VP ngày 30/6/2017; báo cáo thẩm định của Sở Tư pháp tại Văn bản số</w:t>
      </w:r>
      <w:hyperlink r:id="rId8" w:tooltip="Xem văn bản  408/STP-KSTT" w:history="1">
        <w:r w:rsidRPr="00AA31E8">
          <w:rPr>
            <w:rFonts w:ascii="Helvetica" w:eastAsia="Times New Roman" w:hAnsi="Helvetica" w:cs="Helvetica"/>
            <w:i/>
            <w:iCs/>
            <w:color w:val="5C90D2"/>
            <w:sz w:val="20"/>
            <w:szCs w:val="20"/>
            <w:u w:val="single"/>
          </w:rPr>
          <w:t>408/STP-KSTT</w:t>
        </w:r>
      </w:hyperlink>
      <w:r w:rsidRPr="00AA31E8">
        <w:rPr>
          <w:rFonts w:ascii="Helvetica" w:eastAsia="Times New Roman" w:hAnsi="Helvetica" w:cs="Helvetica"/>
          <w:i/>
          <w:iCs/>
          <w:color w:val="646464"/>
          <w:sz w:val="20"/>
          <w:szCs w:val="20"/>
        </w:rPr>
        <w:t> ngày 28/6/2017,</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1"/>
          <w:szCs w:val="21"/>
        </w:rPr>
        <w:t>QUYẾT ĐỊNH: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lang w:val="it-IT"/>
        </w:rPr>
        <w:t>Điều 1. </w:t>
      </w:r>
      <w:r w:rsidRPr="00AA31E8">
        <w:rPr>
          <w:rFonts w:ascii="Helvetica" w:eastAsia="Times New Roman" w:hAnsi="Helvetica" w:cs="Helvetica"/>
          <w:color w:val="646464"/>
          <w:sz w:val="20"/>
          <w:szCs w:val="20"/>
          <w:lang w:val="vi-VN"/>
        </w:rPr>
        <w:t>Công bố kèm theo Quyết định này 64</w:t>
      </w:r>
      <w:r w:rsidRPr="00AA31E8">
        <w:rPr>
          <w:rFonts w:ascii="Helvetica" w:eastAsia="Times New Roman" w:hAnsi="Helvetica" w:cs="Helvetica"/>
          <w:color w:val="646464"/>
          <w:sz w:val="20"/>
          <w:szCs w:val="20"/>
          <w:lang w:val="it-IT"/>
        </w:rPr>
        <w:t> (</w:t>
      </w:r>
      <w:r w:rsidRPr="00AA31E8">
        <w:rPr>
          <w:rFonts w:ascii="Helvetica" w:eastAsia="Times New Roman" w:hAnsi="Helvetica" w:cs="Helvetica"/>
          <w:i/>
          <w:iCs/>
          <w:color w:val="646464"/>
          <w:sz w:val="20"/>
          <w:szCs w:val="20"/>
          <w:lang w:val="it-IT"/>
        </w:rPr>
        <w:t>sáu mươi tư</w:t>
      </w:r>
      <w:r w:rsidRPr="00AA31E8">
        <w:rPr>
          <w:rFonts w:ascii="Helvetica" w:eastAsia="Times New Roman" w:hAnsi="Helvetica" w:cs="Helvetica"/>
          <w:color w:val="646464"/>
          <w:sz w:val="20"/>
          <w:szCs w:val="20"/>
          <w:lang w:val="it-IT"/>
        </w:rPr>
        <w:t>) thủ tục hành chính được sửa đổi, bổ sung </w:t>
      </w:r>
      <w:r w:rsidRPr="00AA31E8">
        <w:rPr>
          <w:rFonts w:ascii="Helvetica" w:eastAsia="Times New Roman" w:hAnsi="Helvetica" w:cs="Helvetica"/>
          <w:color w:val="646464"/>
          <w:sz w:val="20"/>
          <w:szCs w:val="20"/>
          <w:lang w:val="vi-VN"/>
        </w:rPr>
        <w:t>thuộc thẩm quyền giải quyết của Sở Y tế tỉnh Hà Tĩnh.</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it-IT"/>
        </w:rPr>
        <w:t>(Có danh mục và nội dung TTHC kèm theo)</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lang w:val="it-IT"/>
        </w:rPr>
        <w:t>Điều 2.  </w:t>
      </w:r>
      <w:r w:rsidRPr="00AA31E8">
        <w:rPr>
          <w:rFonts w:ascii="Helvetica" w:eastAsia="Times New Roman" w:hAnsi="Helvetica" w:cs="Helvetica"/>
          <w:color w:val="646464"/>
          <w:sz w:val="20"/>
          <w:szCs w:val="20"/>
          <w:lang w:val="it-IT"/>
        </w:rPr>
        <w:t>Quyết định này có hiệu lực kể từ ngày ban hành; thay thế tất cả các thủ tục hành chính thuộc lĩnh vực khám bệnh, chữa bệnh và lĩnh vực an toàn vệ sinh thực phẩm tại các Quyết định: Số 2519/QĐ-UBND ngày 30/6/2015, số </w:t>
      </w:r>
      <w:hyperlink r:id="rId9" w:tooltip="Xem văn bản &#10;3768/QĐ-UBND" w:history="1">
        <w:r w:rsidRPr="00AA31E8">
          <w:rPr>
            <w:rFonts w:ascii="Helvetica" w:eastAsia="Times New Roman" w:hAnsi="Helvetica" w:cs="Helvetica"/>
            <w:color w:val="5C90D2"/>
            <w:sz w:val="20"/>
            <w:szCs w:val="20"/>
            <w:u w:val="single"/>
            <w:lang w:val="it-IT"/>
          </w:rPr>
          <w:t>3768/QĐ-UBND</w:t>
        </w:r>
      </w:hyperlink>
      <w:r w:rsidRPr="00AA31E8">
        <w:rPr>
          <w:rFonts w:ascii="Helvetica" w:eastAsia="Times New Roman" w:hAnsi="Helvetica" w:cs="Helvetica"/>
          <w:color w:val="646464"/>
          <w:sz w:val="20"/>
          <w:szCs w:val="20"/>
          <w:lang w:val="it-IT"/>
        </w:rPr>
        <w:t>ngày 29/9/2015,  số </w:t>
      </w:r>
      <w:hyperlink r:id="rId10" w:tooltip="Xem văn bản  1470/QĐ-UBND" w:history="1">
        <w:r w:rsidRPr="00AA31E8">
          <w:rPr>
            <w:rFonts w:ascii="Helvetica" w:eastAsia="Times New Roman" w:hAnsi="Helvetica" w:cs="Helvetica"/>
            <w:color w:val="5C90D2"/>
            <w:sz w:val="20"/>
            <w:szCs w:val="20"/>
            <w:u w:val="single"/>
            <w:lang w:val="it-IT"/>
          </w:rPr>
          <w:t>1470/QĐ-UBND</w:t>
        </w:r>
      </w:hyperlink>
      <w:r w:rsidRPr="00AA31E8">
        <w:rPr>
          <w:rFonts w:ascii="Helvetica" w:eastAsia="Times New Roman" w:hAnsi="Helvetica" w:cs="Helvetica"/>
          <w:color w:val="646464"/>
          <w:sz w:val="20"/>
          <w:szCs w:val="20"/>
          <w:lang w:val="it-IT"/>
        </w:rPr>
        <w:t> ngày 9/6/2016; bãi bỏ các thủ tục hành chính có số thứ tự  4, 5, 6, 7, 8, 9 thuộc lĩnh vực y tế dự phòng tại Quyết định số </w:t>
      </w:r>
      <w:hyperlink r:id="rId11" w:tooltip="Xem văn bản  1470/QĐ-UBND" w:history="1">
        <w:r w:rsidRPr="00AA31E8">
          <w:rPr>
            <w:rFonts w:ascii="Helvetica" w:eastAsia="Times New Roman" w:hAnsi="Helvetica" w:cs="Helvetica"/>
            <w:color w:val="5C90D2"/>
            <w:sz w:val="20"/>
            <w:szCs w:val="20"/>
            <w:u w:val="single"/>
            <w:lang w:val="it-IT"/>
          </w:rPr>
          <w:t>1470/QĐ-UBND</w:t>
        </w:r>
      </w:hyperlink>
      <w:r w:rsidRPr="00AA31E8">
        <w:rPr>
          <w:rFonts w:ascii="Helvetica" w:eastAsia="Times New Roman" w:hAnsi="Helvetica" w:cs="Helvetica"/>
          <w:color w:val="646464"/>
          <w:sz w:val="20"/>
          <w:szCs w:val="20"/>
          <w:lang w:val="it-IT"/>
        </w:rPr>
        <w:t> ngày 9/6/2016 của UBND tỉnh.</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lang w:val="it-IT"/>
        </w:rPr>
        <w:t>Điều 3. </w:t>
      </w:r>
      <w:r w:rsidRPr="00AA31E8">
        <w:rPr>
          <w:rFonts w:ascii="Helvetica" w:eastAsia="Times New Roman" w:hAnsi="Helvetica" w:cs="Helvetica"/>
          <w:color w:val="646464"/>
          <w:sz w:val="20"/>
          <w:szCs w:val="20"/>
          <w:lang w:val="it-IT"/>
        </w:rPr>
        <w:t>Chánh Văn phòng UBND tỉnh, Giám đốc Sở Y tế; Giám đốc (Thủ trưởng) các sở, ban, ngành liên quan; Giám đốc Trung tâm Hành chính công tỉnh; Chủ tịch UBND các huyện, thành phố, thị xã và các tổ chức, cá nhân có liên quan chịu trách nhiệm thi hành Quyết định này./.</w:t>
      </w:r>
    </w:p>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it-IT"/>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AA31E8" w:rsidRPr="00AA31E8" w:rsidTr="00AA31E8">
        <w:tc>
          <w:tcPr>
            <w:tcW w:w="4428" w:type="dxa"/>
            <w:shd w:val="clear" w:color="auto" w:fill="FFFFFF"/>
            <w:tcMar>
              <w:top w:w="0" w:type="dxa"/>
              <w:left w:w="108" w:type="dxa"/>
              <w:bottom w:w="0" w:type="dxa"/>
              <w:right w:w="108" w:type="dxa"/>
            </w:tcMar>
            <w:hideMark/>
          </w:tcPr>
          <w:p w:rsidR="00AA31E8" w:rsidRPr="00AA31E8" w:rsidRDefault="00AA31E8" w:rsidP="00BF54A2">
            <w:pPr>
              <w:spacing w:after="120" w:line="240" w:lineRule="auto"/>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 </w:t>
            </w:r>
            <w:r w:rsidRPr="00AA31E8">
              <w:rPr>
                <w:rFonts w:ascii="Helvetica" w:eastAsia="Times New Roman" w:hAnsi="Helvetica" w:cs="Helvetica"/>
                <w:b/>
                <w:bCs/>
                <w:i/>
                <w:iCs/>
                <w:color w:val="646464"/>
                <w:sz w:val="20"/>
                <w:szCs w:val="20"/>
              </w:rPr>
              <w:t>Nơi nhận:</w:t>
            </w:r>
            <w:r w:rsidRPr="00AA31E8">
              <w:rPr>
                <w:rFonts w:ascii="Helvetica" w:eastAsia="Times New Roman" w:hAnsi="Helvetica" w:cs="Helvetica"/>
                <w:b/>
                <w:bCs/>
                <w:i/>
                <w:iCs/>
                <w:color w:val="646464"/>
                <w:sz w:val="20"/>
                <w:szCs w:val="20"/>
              </w:rPr>
              <w:br/>
            </w:r>
            <w:r w:rsidRPr="00AA31E8">
              <w:rPr>
                <w:rFonts w:ascii="Helvetica" w:eastAsia="Times New Roman" w:hAnsi="Helvetica" w:cs="Helvetica"/>
                <w:color w:val="646464"/>
                <w:sz w:val="16"/>
                <w:szCs w:val="16"/>
                <w:lang w:val="it-IT"/>
              </w:rPr>
              <w:t>- Như Điều 3;</w:t>
            </w:r>
            <w:r w:rsidRPr="00AA31E8">
              <w:rPr>
                <w:rFonts w:ascii="Helvetica" w:eastAsia="Times New Roman" w:hAnsi="Helvetica" w:cs="Helvetica"/>
                <w:color w:val="646464"/>
                <w:sz w:val="16"/>
                <w:szCs w:val="16"/>
                <w:lang w:val="it-IT"/>
              </w:rPr>
              <w:br/>
              <w:t>- Cục Kiểm soát TTHC, VPCP;</w:t>
            </w:r>
            <w:r w:rsidRPr="00AA31E8">
              <w:rPr>
                <w:rFonts w:ascii="Helvetica" w:eastAsia="Times New Roman" w:hAnsi="Helvetica" w:cs="Helvetica"/>
                <w:color w:val="646464"/>
                <w:sz w:val="16"/>
                <w:szCs w:val="16"/>
                <w:lang w:val="it-IT"/>
              </w:rPr>
              <w:br/>
              <w:t>- Chủ tịch, các PCT UBND tỉnh;</w:t>
            </w:r>
            <w:r w:rsidRPr="00AA31E8">
              <w:rPr>
                <w:rFonts w:ascii="Helvetica" w:eastAsia="Times New Roman" w:hAnsi="Helvetica" w:cs="Helvetica"/>
                <w:color w:val="646464"/>
                <w:sz w:val="16"/>
                <w:szCs w:val="16"/>
                <w:lang w:val="it-IT"/>
              </w:rPr>
              <w:br/>
              <w:t>- Chánh VP, các PVP UBND tỉnh;</w:t>
            </w:r>
            <w:r w:rsidRPr="00AA31E8">
              <w:rPr>
                <w:rFonts w:ascii="Helvetica" w:eastAsia="Times New Roman" w:hAnsi="Helvetica" w:cs="Helvetica"/>
                <w:color w:val="646464"/>
                <w:sz w:val="16"/>
                <w:szCs w:val="16"/>
                <w:lang w:val="it-IT"/>
              </w:rPr>
              <w:br/>
              <w:t>- Trung tâm CB-TH (đăng tải);</w:t>
            </w:r>
            <w:r w:rsidRPr="00AA31E8">
              <w:rPr>
                <w:rFonts w:ascii="Helvetica" w:eastAsia="Times New Roman" w:hAnsi="Helvetica" w:cs="Helvetica"/>
                <w:color w:val="646464"/>
                <w:sz w:val="16"/>
                <w:szCs w:val="16"/>
                <w:lang w:val="it-IT"/>
              </w:rPr>
              <w:br/>
              <w:t>- Lưu: VT, NC, KGVX</w:t>
            </w:r>
            <w:r w:rsidRPr="00AA31E8">
              <w:rPr>
                <w:rFonts w:ascii="Helvetica" w:eastAsia="Times New Roman" w:hAnsi="Helvetica" w:cs="Helvetica"/>
                <w:color w:val="646464"/>
                <w:sz w:val="12"/>
                <w:szCs w:val="12"/>
                <w:vertAlign w:val="subscript"/>
                <w:lang w:val="it-IT"/>
              </w:rPr>
              <w:t>1</w:t>
            </w:r>
            <w:r w:rsidRPr="00AA31E8">
              <w:rPr>
                <w:rFonts w:ascii="Helvetica" w:eastAsia="Times New Roman" w:hAnsi="Helvetica" w:cs="Helvetica"/>
                <w:color w:val="646464"/>
                <w:sz w:val="16"/>
                <w:szCs w:val="16"/>
                <w:lang w:val="it-IT"/>
              </w:rPr>
              <w:t>;</w:t>
            </w:r>
            <w:r w:rsidRPr="00AA31E8">
              <w:rPr>
                <w:rFonts w:ascii="Helvetica" w:eastAsia="Times New Roman" w:hAnsi="Helvetica" w:cs="Helvetica"/>
                <w:color w:val="646464"/>
                <w:sz w:val="16"/>
                <w:szCs w:val="16"/>
                <w:lang w:val="it-IT"/>
              </w:rPr>
              <w:br/>
              <w:t>- Gửi:</w:t>
            </w:r>
            <w:r w:rsidRPr="00AA31E8">
              <w:rPr>
                <w:rFonts w:ascii="Helvetica" w:eastAsia="Times New Roman" w:hAnsi="Helvetica" w:cs="Helvetica"/>
                <w:color w:val="646464"/>
                <w:sz w:val="16"/>
                <w:szCs w:val="16"/>
                <w:lang w:val="it-IT"/>
              </w:rPr>
              <w:br/>
              <w:t>+ Bản giấy: TP không nhận được VB điện tử;</w:t>
            </w:r>
            <w:r w:rsidRPr="00AA31E8">
              <w:rPr>
                <w:rFonts w:ascii="Helvetica" w:eastAsia="Times New Roman" w:hAnsi="Helvetica" w:cs="Helvetica"/>
                <w:color w:val="646464"/>
                <w:sz w:val="16"/>
                <w:szCs w:val="16"/>
                <w:lang w:val="it-IT"/>
              </w:rPr>
              <w:br/>
              <w:t>+ Bản điện tử: Các thành phần khác.</w:t>
            </w:r>
          </w:p>
        </w:tc>
        <w:tc>
          <w:tcPr>
            <w:tcW w:w="4428" w:type="dxa"/>
            <w:shd w:val="clear" w:color="auto" w:fill="FFFFFF"/>
            <w:tcMar>
              <w:top w:w="0" w:type="dxa"/>
              <w:left w:w="108" w:type="dxa"/>
              <w:bottom w:w="0" w:type="dxa"/>
              <w:right w:w="108" w:type="dxa"/>
            </w:tcMa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lang w:val="it-IT"/>
              </w:rPr>
              <w:t>KT. CHỦ TỊCH</w:t>
            </w:r>
            <w:r w:rsidRPr="00AA31E8">
              <w:rPr>
                <w:rFonts w:ascii="Helvetica" w:eastAsia="Times New Roman" w:hAnsi="Helvetica" w:cs="Helvetica"/>
                <w:b/>
                <w:bCs/>
                <w:color w:val="646464"/>
                <w:sz w:val="20"/>
                <w:szCs w:val="20"/>
                <w:lang w:val="it-IT"/>
              </w:rPr>
              <w:br/>
              <w:t>PHÓ CHỦ TỊCH</w:t>
            </w:r>
            <w:r w:rsidRPr="00AA31E8">
              <w:rPr>
                <w:rFonts w:ascii="Helvetica" w:eastAsia="Times New Roman" w:hAnsi="Helvetica" w:cs="Helvetica"/>
                <w:b/>
                <w:bCs/>
                <w:color w:val="646464"/>
                <w:sz w:val="20"/>
                <w:szCs w:val="20"/>
                <w:lang w:val="it-IT"/>
              </w:rPr>
              <w:br/>
            </w:r>
            <w:r w:rsidRPr="00AA31E8">
              <w:rPr>
                <w:rFonts w:ascii="Helvetica" w:eastAsia="Times New Roman" w:hAnsi="Helvetica" w:cs="Helvetica"/>
                <w:b/>
                <w:bCs/>
                <w:color w:val="646464"/>
                <w:sz w:val="20"/>
                <w:szCs w:val="20"/>
                <w:lang w:val="it-IT"/>
              </w:rPr>
              <w:br/>
            </w:r>
            <w:r w:rsidRPr="00AA31E8">
              <w:rPr>
                <w:rFonts w:ascii="Helvetica" w:eastAsia="Times New Roman" w:hAnsi="Helvetica" w:cs="Helvetica"/>
                <w:b/>
                <w:bCs/>
                <w:color w:val="646464"/>
                <w:sz w:val="20"/>
                <w:szCs w:val="20"/>
                <w:lang w:val="it-IT"/>
              </w:rPr>
              <w:br/>
            </w:r>
            <w:r w:rsidRPr="00AA31E8">
              <w:rPr>
                <w:rFonts w:ascii="Helvetica" w:eastAsia="Times New Roman" w:hAnsi="Helvetica" w:cs="Helvetica"/>
                <w:b/>
                <w:bCs/>
                <w:color w:val="646464"/>
                <w:sz w:val="20"/>
                <w:szCs w:val="20"/>
                <w:lang w:val="it-IT"/>
              </w:rPr>
              <w:br/>
            </w:r>
            <w:r w:rsidRPr="00AA31E8">
              <w:rPr>
                <w:rFonts w:ascii="Helvetica" w:eastAsia="Times New Roman" w:hAnsi="Helvetica" w:cs="Helvetica"/>
                <w:b/>
                <w:bCs/>
                <w:color w:val="646464"/>
                <w:sz w:val="20"/>
                <w:szCs w:val="20"/>
                <w:lang w:val="it-IT"/>
              </w:rPr>
              <w:br/>
              <w:t>Đặng Quốc Vinh</w:t>
            </w:r>
          </w:p>
        </w:tc>
      </w:tr>
    </w:tbl>
    <w:p w:rsidR="00AA31E8" w:rsidRPr="00AA31E8" w:rsidRDefault="00AA31E8" w:rsidP="00AA31E8">
      <w:pPr>
        <w:shd w:val="clear" w:color="auto" w:fill="FFFFFF"/>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 </w:t>
      </w:r>
    </w:p>
    <w:p w:rsidR="00AA31E8" w:rsidRPr="00AA31E8" w:rsidRDefault="00AA31E8" w:rsidP="00BF54A2">
      <w:pPr>
        <w:shd w:val="clear" w:color="auto" w:fill="FFFFFF"/>
        <w:spacing w:after="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1"/>
          <w:szCs w:val="21"/>
          <w:lang w:val="it-IT"/>
        </w:rPr>
        <w:t>THỦ TỤC HÀNH CHÍNH THUỘC THẨM QUYỀN GIẢI QUYẾT CỦA SỞ Y TẾ TỈNH HÀ TĨNH</w:t>
      </w:r>
    </w:p>
    <w:p w:rsidR="00AA31E8" w:rsidRPr="00AA31E8" w:rsidRDefault="00AA31E8" w:rsidP="00BF54A2">
      <w:pPr>
        <w:shd w:val="clear" w:color="auto" w:fill="FFFFFF"/>
        <w:spacing w:after="0" w:line="240" w:lineRule="auto"/>
        <w:jc w:val="center"/>
        <w:rPr>
          <w:rFonts w:ascii="Helvetica" w:eastAsia="Times New Roman" w:hAnsi="Helvetica" w:cs="Helvetica"/>
          <w:color w:val="646464"/>
          <w:sz w:val="21"/>
          <w:szCs w:val="21"/>
        </w:rPr>
      </w:pPr>
      <w:r w:rsidRPr="00AA31E8">
        <w:rPr>
          <w:rFonts w:ascii="Helvetica" w:eastAsia="Times New Roman" w:hAnsi="Helvetica" w:cs="Helvetica"/>
          <w:i/>
          <w:iCs/>
          <w:color w:val="646464"/>
          <w:sz w:val="20"/>
          <w:szCs w:val="20"/>
          <w:lang w:val="it-IT"/>
        </w:rPr>
        <w:t>(Ban hành kèm theo Quyết định số ......./QĐ-UBND ngày ... thán</w:t>
      </w:r>
      <w:bookmarkStart w:id="0" w:name="_GoBack"/>
      <w:bookmarkEnd w:id="0"/>
      <w:r w:rsidRPr="00AA31E8">
        <w:rPr>
          <w:rFonts w:ascii="Helvetica" w:eastAsia="Times New Roman" w:hAnsi="Helvetica" w:cs="Helvetica"/>
          <w:i/>
          <w:iCs/>
          <w:color w:val="646464"/>
          <w:sz w:val="20"/>
          <w:szCs w:val="20"/>
          <w:lang w:val="it-IT"/>
        </w:rPr>
        <w:t>g ... năm 2017 của Chủ tịch UBND tỉnh Hà Tĩnh)</w:t>
      </w:r>
    </w:p>
    <w:p w:rsidR="00AA31E8" w:rsidRPr="00AA31E8" w:rsidRDefault="00AA31E8" w:rsidP="00AA31E8">
      <w:pPr>
        <w:shd w:val="clear" w:color="auto" w:fill="FFFFFF"/>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lang w:val="it-IT"/>
        </w:rPr>
        <w:t>PHẦN I. DANH MỤC THỦ TỤC HÀNH CHÍNH ĐƯỢC SỬA ĐỔI, BỔ SUNG</w:t>
      </w:r>
    </w:p>
    <w:tbl>
      <w:tblPr>
        <w:tblW w:w="0" w:type="dxa"/>
        <w:shd w:val="clear" w:color="auto" w:fill="FFFFFF"/>
        <w:tblCellMar>
          <w:left w:w="0" w:type="dxa"/>
          <w:right w:w="0" w:type="dxa"/>
        </w:tblCellMar>
        <w:tblLook w:val="04A0" w:firstRow="1" w:lastRow="0" w:firstColumn="1" w:lastColumn="0" w:noHBand="0" w:noVBand="1"/>
      </w:tblPr>
      <w:tblGrid>
        <w:gridCol w:w="846"/>
        <w:gridCol w:w="6699"/>
        <w:gridCol w:w="1547"/>
      </w:tblGrid>
      <w:tr w:rsidR="00AA31E8" w:rsidRPr="00AA31E8" w:rsidTr="00AA31E8">
        <w:tc>
          <w:tcPr>
            <w:tcW w:w="852" w:type="dxa"/>
            <w:tcBorders>
              <w:top w:val="single" w:sz="8" w:space="0" w:color="auto"/>
              <w:left w:val="single" w:sz="8" w:space="0" w:color="auto"/>
              <w:bottom w:val="single" w:sz="8" w:space="0" w:color="auto"/>
              <w:right w:val="single" w:sz="8" w:space="0" w:color="auto"/>
            </w:tcBorders>
            <w:shd w:val="clear" w:color="auto" w:fill="FFFFFF"/>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STT</w:t>
            </w:r>
          </w:p>
        </w:tc>
        <w:tc>
          <w:tcPr>
            <w:tcW w:w="6769" w:type="dxa"/>
            <w:tcBorders>
              <w:top w:val="single" w:sz="8" w:space="0" w:color="auto"/>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Tên thủ tục hành chính</w:t>
            </w:r>
          </w:p>
        </w:tc>
        <w:tc>
          <w:tcPr>
            <w:tcW w:w="1559" w:type="dxa"/>
            <w:tcBorders>
              <w:top w:val="single" w:sz="8" w:space="0" w:color="auto"/>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Trang</w:t>
            </w:r>
          </w:p>
        </w:tc>
      </w:tr>
      <w:tr w:rsidR="00AA31E8" w:rsidRPr="00AA31E8" w:rsidTr="00AA31E8">
        <w:tc>
          <w:tcPr>
            <w:tcW w:w="9180" w:type="dxa"/>
            <w:gridSpan w:val="3"/>
            <w:tcBorders>
              <w:top w:val="nil"/>
              <w:left w:val="single" w:sz="8" w:space="0" w:color="auto"/>
              <w:bottom w:val="single" w:sz="8" w:space="0" w:color="auto"/>
              <w:right w:val="single" w:sz="8" w:space="0" w:color="auto"/>
            </w:tcBorders>
            <w:shd w:val="clear" w:color="auto" w:fill="FFFFFF"/>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I. Lĩnh vực Khám bệnh, chữa bệnh</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Cấp </w:t>
            </w: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hứng chỉ hành nghề khám bệnh, chữa bệnh đối với người Việt Nam</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bổ sung phạm vi hoạt động chuyên môn trong chứng chỉ hành nghề</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thay đổi phạm vi hoạt động chuyên môn trong chứng chỉ hành nghề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lastRenderedPageBreak/>
              <w:t>4.</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điều chỉnh chứng chỉ hành nghề khám bệnh, chữa bệnh trong trường hợp đề nghị </w:t>
            </w:r>
            <w:r w:rsidRPr="00AA31E8">
              <w:rPr>
                <w:rFonts w:ascii="Helvetica" w:eastAsia="Times New Roman" w:hAnsi="Helvetica" w:cs="Helvetica"/>
                <w:color w:val="646464"/>
                <w:sz w:val="20"/>
                <w:szCs w:val="20"/>
                <w:lang w:val="vi-VN"/>
              </w:rPr>
              <w:t>thay đổi họ và tên, ngày tháng năm sinh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lại </w:t>
            </w: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hứng chỉ hành nghề </w:t>
            </w:r>
            <w:r w:rsidRPr="00AA31E8">
              <w:rPr>
                <w:rFonts w:ascii="Helvetica" w:eastAsia="Times New Roman" w:hAnsi="Helvetica" w:cs="Helvetica"/>
                <w:color w:val="646464"/>
                <w:sz w:val="20"/>
                <w:szCs w:val="20"/>
              </w:rPr>
              <w:t>khám bệnh, chữa bệnh </w:t>
            </w:r>
            <w:r w:rsidRPr="00AA31E8">
              <w:rPr>
                <w:rFonts w:ascii="Helvetica" w:eastAsia="Times New Roman" w:hAnsi="Helvetica" w:cs="Helvetica"/>
                <w:color w:val="646464"/>
                <w:sz w:val="20"/>
                <w:szCs w:val="20"/>
                <w:lang w:val="vi-VN"/>
              </w:rPr>
              <w:t>đối với người </w:t>
            </w:r>
            <w:r w:rsidRPr="00AA31E8">
              <w:rPr>
                <w:rFonts w:ascii="Helvetica" w:eastAsia="Times New Roman" w:hAnsi="Helvetica" w:cs="Helvetica"/>
                <w:color w:val="646464"/>
                <w:sz w:val="20"/>
                <w:szCs w:val="20"/>
              </w:rPr>
              <w:t>Việt Nam </w:t>
            </w:r>
            <w:r w:rsidRPr="00AA31E8">
              <w:rPr>
                <w:rFonts w:ascii="Helvetica" w:eastAsia="Times New Roman" w:hAnsi="Helvetica" w:cs="Helvetica"/>
                <w:color w:val="646464"/>
                <w:sz w:val="20"/>
                <w:szCs w:val="20"/>
                <w:lang w:val="vi-VN"/>
              </w:rPr>
              <w:t>bị mất hoặc bị hư hỏng hoặc bị thu hồi chứng chỉ hành nghề</w:t>
            </w:r>
            <w:r w:rsidRPr="00AA31E8">
              <w:rPr>
                <w:rFonts w:ascii="Helvetica" w:eastAsia="Times New Roman" w:hAnsi="Helvetica" w:cs="Helvetica"/>
                <w:color w:val="646464"/>
                <w:sz w:val="20"/>
                <w:szCs w:val="20"/>
              </w:rPr>
              <w:t> theo quy định tại điểm a,b Khoản 1 Điều 29 Luật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6.</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lại </w:t>
            </w: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hứng chỉ hành nghề </w:t>
            </w:r>
            <w:r w:rsidRPr="00AA31E8">
              <w:rPr>
                <w:rFonts w:ascii="Helvetica" w:eastAsia="Times New Roman" w:hAnsi="Helvetica" w:cs="Helvetica"/>
                <w:color w:val="646464"/>
                <w:sz w:val="20"/>
                <w:szCs w:val="20"/>
              </w:rPr>
              <w:t>khám bệnh, chữa bệnh đối với người Việt Nam bị thu hồi chứng chỉ hành nghề theo quy định tại điểm c, d, đ, e và g Khoản 1 Điều 29 Luật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bệnh viện</w:t>
            </w:r>
            <w:r w:rsidRPr="00AA31E8">
              <w:rPr>
                <w:rFonts w:ascii="Helvetica" w:eastAsia="Times New Roman" w:hAnsi="Helvetica" w:cs="Helvetica"/>
                <w:kern w:val="36"/>
                <w:sz w:val="20"/>
                <w:szCs w:val="20"/>
              </w:rPr>
              <w:t> thuộc Sở Y tế và áp dụng đối với trường hợp khi thay đổi hình thức tổ chức, chia tách, hợp nhất, sát nhập.</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8.</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w:t>
            </w:r>
            <w:r w:rsidRPr="00AA31E8">
              <w:rPr>
                <w:rFonts w:ascii="Helvetica" w:eastAsia="Times New Roman" w:hAnsi="Helvetica" w:cs="Helvetica"/>
                <w:color w:val="646464"/>
                <w:sz w:val="20"/>
                <w:szCs w:val="20"/>
              </w:rPr>
              <w:t>G</w:t>
            </w:r>
            <w:r w:rsidRPr="00AA31E8">
              <w:rPr>
                <w:rFonts w:ascii="Helvetica" w:eastAsia="Times New Roman" w:hAnsi="Helvetica" w:cs="Helvetica"/>
                <w:color w:val="646464"/>
                <w:sz w:val="20"/>
                <w:szCs w:val="20"/>
                <w:lang w:val="vi-VN"/>
              </w:rPr>
              <w:t>iấy phép hoạt động đối với bệnh xá thuộc lực lượng Công an nhân dân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9.</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w:t>
            </w:r>
            <w:r w:rsidRPr="00AA31E8">
              <w:rPr>
                <w:rFonts w:ascii="Helvetica" w:eastAsia="Times New Roman" w:hAnsi="Helvetica" w:cs="Helvetica"/>
                <w:color w:val="646464"/>
                <w:sz w:val="20"/>
                <w:szCs w:val="20"/>
              </w:rPr>
              <w:t>G</w:t>
            </w:r>
            <w:r w:rsidRPr="00AA31E8">
              <w:rPr>
                <w:rFonts w:ascii="Helvetica" w:eastAsia="Times New Roman" w:hAnsi="Helvetica" w:cs="Helvetica"/>
                <w:color w:val="646464"/>
                <w:sz w:val="20"/>
                <w:szCs w:val="20"/>
                <w:lang w:val="vi-VN"/>
              </w:rPr>
              <w:t>iấy phép hoạt động đối với phòng khám đa khoa</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10.</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w:t>
            </w:r>
            <w:r w:rsidRPr="00AA31E8">
              <w:rPr>
                <w:rFonts w:ascii="Helvetica" w:eastAsia="Times New Roman" w:hAnsi="Helvetica" w:cs="Helvetica"/>
                <w:color w:val="646464"/>
                <w:sz w:val="20"/>
                <w:szCs w:val="20"/>
              </w:rPr>
              <w:t>G</w:t>
            </w:r>
            <w:r w:rsidRPr="00AA31E8">
              <w:rPr>
                <w:rFonts w:ascii="Helvetica" w:eastAsia="Times New Roman" w:hAnsi="Helvetica" w:cs="Helvetica"/>
                <w:color w:val="646464"/>
                <w:sz w:val="20"/>
                <w:szCs w:val="20"/>
                <w:lang w:val="vi-VN"/>
              </w:rPr>
              <w:t>iấy phép hoạt động đối với phòng khám chuyên khoa</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w:t>
            </w:r>
            <w:r w:rsidRPr="00AA31E8">
              <w:rPr>
                <w:rFonts w:ascii="Helvetica" w:eastAsia="Times New Roman" w:hAnsi="Helvetica" w:cs="Helvetica"/>
                <w:color w:val="646464"/>
                <w:sz w:val="20"/>
                <w:szCs w:val="20"/>
                <w:lang w:val="vi-VN"/>
              </w:rPr>
              <w:t>ấp </w:t>
            </w:r>
            <w:r w:rsidRPr="00AA31E8">
              <w:rPr>
                <w:rFonts w:ascii="Helvetica" w:eastAsia="Times New Roman" w:hAnsi="Helvetica" w:cs="Helvetica"/>
                <w:color w:val="646464"/>
                <w:sz w:val="20"/>
                <w:szCs w:val="20"/>
              </w:rPr>
              <w:t>G</w:t>
            </w:r>
            <w:r w:rsidRPr="00AA31E8">
              <w:rPr>
                <w:rFonts w:ascii="Helvetica" w:eastAsia="Times New Roman" w:hAnsi="Helvetica" w:cs="Helvetica"/>
                <w:color w:val="646464"/>
                <w:sz w:val="20"/>
                <w:szCs w:val="20"/>
                <w:lang w:val="vi-VN"/>
              </w:rPr>
              <w:t>iấy phép hoạt động đối với phòng chẩn trị y học cổ truyền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phòng xét nghiệm</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13.</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phòng khám chẩn đoán hình ảnh, phòng X-Quang</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14.</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nhà hộ sinh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15.</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phòng khám, tư vấn và điều trị dự phòng</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16.</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phòng khám, điều trị bệnh nghề nghiệp</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dịch vụ tiêm (chích), thay băng, đếm mạch, đo nhiệt độ, đo huyết áp</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18.</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dịch vụ chăm sóc sức khỏe tại nhà</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19.</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dịch vụ cấp cứu, hỗ trợ vận chuyển người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20.</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dịch vụ kính thuốc</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trạm y tế cấp xã, trạm xá</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khám bệnh, chữa bệnh khi thay đổi địa điểm</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23.</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khám bệnh, chữa bệnh khi thay đổi tên cơ sở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24.</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Đ</w:t>
            </w:r>
            <w:r w:rsidRPr="00AA31E8">
              <w:rPr>
                <w:rFonts w:ascii="Helvetica" w:eastAsia="Times New Roman" w:hAnsi="Helvetica" w:cs="Helvetica"/>
                <w:kern w:val="36"/>
                <w:sz w:val="20"/>
                <w:szCs w:val="20"/>
                <w:lang w:val="vi-VN"/>
              </w:rPr>
              <w:t>iều chỉnh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khám bệnh, chữa bệnh khi thay đổi quy mô giường bệnh hoặc cơ cấu tổ chức</w:t>
            </w:r>
            <w:r w:rsidRPr="00AA31E8">
              <w:rPr>
                <w:rFonts w:ascii="Helvetica" w:eastAsia="Times New Roman" w:hAnsi="Helvetica" w:cs="Helvetica"/>
                <w:kern w:val="36"/>
                <w:sz w:val="20"/>
                <w:szCs w:val="20"/>
              </w:rPr>
              <w:t>, nhân sự</w:t>
            </w:r>
            <w:r w:rsidRPr="00AA31E8">
              <w:rPr>
                <w:rFonts w:ascii="Helvetica" w:eastAsia="Times New Roman" w:hAnsi="Helvetica" w:cs="Helvetica"/>
                <w:kern w:val="36"/>
                <w:sz w:val="20"/>
                <w:szCs w:val="20"/>
                <w:lang w:val="vi-VN"/>
              </w:rPr>
              <w:t> hoặc phạm vi hoạt động chuyên môn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25.</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Cấp giấy phép hoạt động đối với cơ sở khám bệnh, chữa bệnh khi</w:t>
            </w:r>
            <w:r w:rsidRPr="00AA31E8">
              <w:rPr>
                <w:rFonts w:ascii="Helvetica" w:eastAsia="Times New Roman" w:hAnsi="Helvetica" w:cs="Helvetica"/>
                <w:kern w:val="36"/>
                <w:sz w:val="20"/>
                <w:szCs w:val="20"/>
                <w:lang w:val="vi-VN"/>
              </w:rPr>
              <w:t> thay đổi người chịu trách nhiệm chuyên môn của cơ sở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26.</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ấp lại </w:t>
            </w:r>
            <w:r w:rsidRPr="00AA31E8">
              <w:rPr>
                <w:rFonts w:ascii="Helvetica" w:eastAsia="Times New Roman" w:hAnsi="Helvetica" w:cs="Helvetica"/>
                <w:kern w:val="36"/>
                <w:sz w:val="20"/>
                <w:szCs w:val="20"/>
              </w:rPr>
              <w:t>G</w:t>
            </w:r>
            <w:r w:rsidRPr="00AA31E8">
              <w:rPr>
                <w:rFonts w:ascii="Helvetica" w:eastAsia="Times New Roman" w:hAnsi="Helvetica" w:cs="Helvetica"/>
                <w:kern w:val="36"/>
                <w:sz w:val="20"/>
                <w:szCs w:val="20"/>
                <w:lang w:val="vi-VN"/>
              </w:rPr>
              <w:t>iấy phép hoạt động đối với cơ sở khám bệnh, chữa bệnh bị mất hoặc hư hỏng hoặc bị thu hồi</w:t>
            </w:r>
            <w:r w:rsidRPr="00AA31E8">
              <w:rPr>
                <w:rFonts w:ascii="Helvetica" w:eastAsia="Times New Roman" w:hAnsi="Helvetica" w:cs="Helvetica"/>
                <w:kern w:val="36"/>
                <w:sz w:val="20"/>
                <w:szCs w:val="20"/>
              </w:rPr>
              <w:t> do cấp không đúng thẩm quyền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Giấy phép hoạt động đối với cơ sở dịch vụ làm răng giả</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28.</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Công bố </w:t>
            </w:r>
            <w:r w:rsidRPr="00AA31E8">
              <w:rPr>
                <w:rFonts w:ascii="Helvetica" w:eastAsia="Times New Roman" w:hAnsi="Helvetica" w:cs="Helvetica"/>
                <w:color w:val="646464"/>
                <w:sz w:val="20"/>
                <w:szCs w:val="20"/>
                <w:lang w:val="vi-VN"/>
              </w:rPr>
              <w:t>cơ sở đủ điều kiện thực hiện khám sức khỏ</w:t>
            </w:r>
            <w:r w:rsidRPr="00AA31E8">
              <w:rPr>
                <w:rFonts w:ascii="Helvetica" w:eastAsia="Times New Roman" w:hAnsi="Helvetica" w:cs="Helvetica"/>
                <w:color w:val="646464"/>
                <w:sz w:val="20"/>
                <w:szCs w:val="20"/>
              </w:rPr>
              <w:t>e cơ sở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29.</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w:t>
            </w:r>
            <w:r w:rsidRPr="00AA31E8">
              <w:rPr>
                <w:rFonts w:ascii="Helvetica" w:eastAsia="Times New Roman" w:hAnsi="Helvetica" w:cs="Helvetica"/>
                <w:kern w:val="36"/>
                <w:sz w:val="20"/>
                <w:szCs w:val="20"/>
                <w:lang w:val="vi-VN"/>
              </w:rPr>
              <w:t>ng bố đủ điều kiện sản xuất trang</w:t>
            </w:r>
            <w:r w:rsidRPr="00AA31E8">
              <w:rPr>
                <w:rFonts w:ascii="Helvetica" w:eastAsia="Times New Roman" w:hAnsi="Helvetica" w:cs="Helvetica"/>
                <w:kern w:val="36"/>
                <w:sz w:val="20"/>
                <w:szCs w:val="20"/>
              </w:rPr>
              <w:t> thi</w:t>
            </w:r>
            <w:r w:rsidRPr="00AA31E8">
              <w:rPr>
                <w:rFonts w:ascii="Helvetica" w:eastAsia="Times New Roman" w:hAnsi="Helvetica" w:cs="Helvetica"/>
                <w:kern w:val="36"/>
                <w:sz w:val="20"/>
                <w:szCs w:val="20"/>
                <w:lang w:val="vi-VN"/>
              </w:rPr>
              <w:t>ết bị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30.</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w:t>
            </w:r>
            <w:r w:rsidRPr="00AA31E8">
              <w:rPr>
                <w:rFonts w:ascii="Helvetica" w:eastAsia="Times New Roman" w:hAnsi="Helvetica" w:cs="Helvetica"/>
                <w:kern w:val="36"/>
                <w:sz w:val="20"/>
                <w:szCs w:val="20"/>
                <w:lang w:val="vi-VN"/>
              </w:rPr>
              <w:t>ng bố tiêu chuẩn áp dụng đối với</w:t>
            </w:r>
            <w:r w:rsidRPr="00AA31E8">
              <w:rPr>
                <w:rFonts w:ascii="Helvetica" w:eastAsia="Times New Roman" w:hAnsi="Helvetica" w:cs="Helvetica"/>
                <w:kern w:val="36"/>
                <w:sz w:val="20"/>
                <w:szCs w:val="20"/>
              </w:rPr>
              <w:t> trang </w:t>
            </w:r>
            <w:r w:rsidRPr="00AA31E8">
              <w:rPr>
                <w:rFonts w:ascii="Helvetica" w:eastAsia="Times New Roman" w:hAnsi="Helvetica" w:cs="Helvetica"/>
                <w:kern w:val="36"/>
                <w:sz w:val="20"/>
                <w:szCs w:val="20"/>
                <w:lang w:val="vi-VN"/>
              </w:rPr>
              <w:t>thiết bị y tế thuộc loại A</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w:t>
            </w:r>
            <w:r w:rsidRPr="00AA31E8">
              <w:rPr>
                <w:rFonts w:ascii="Helvetica" w:eastAsia="Times New Roman" w:hAnsi="Helvetica" w:cs="Helvetica"/>
                <w:kern w:val="36"/>
                <w:sz w:val="20"/>
                <w:szCs w:val="20"/>
                <w:lang w:val="vi-VN"/>
              </w:rPr>
              <w:t>ng bố đủ điều kiện mua bán trang</w:t>
            </w:r>
            <w:r w:rsidRPr="00AA31E8">
              <w:rPr>
                <w:rFonts w:ascii="Helvetica" w:eastAsia="Times New Roman" w:hAnsi="Helvetica" w:cs="Helvetica"/>
                <w:kern w:val="36"/>
                <w:sz w:val="20"/>
                <w:szCs w:val="20"/>
              </w:rPr>
              <w:t> thi</w:t>
            </w:r>
            <w:r w:rsidRPr="00AA31E8">
              <w:rPr>
                <w:rFonts w:ascii="Helvetica" w:eastAsia="Times New Roman" w:hAnsi="Helvetica" w:cs="Helvetica"/>
                <w:kern w:val="36"/>
                <w:sz w:val="20"/>
                <w:szCs w:val="20"/>
                <w:lang w:val="vi-VN"/>
              </w:rPr>
              <w:t>ết bị y tế thuộc loại B, </w:t>
            </w:r>
            <w:r w:rsidRPr="00AA31E8">
              <w:rPr>
                <w:rFonts w:ascii="Helvetica" w:eastAsia="Times New Roman" w:hAnsi="Helvetica" w:cs="Helvetica"/>
                <w:kern w:val="36"/>
                <w:sz w:val="20"/>
                <w:szCs w:val="20"/>
              </w:rPr>
              <w:t>C</w:t>
            </w:r>
            <w:r w:rsidRPr="00AA31E8">
              <w:rPr>
                <w:rFonts w:ascii="Helvetica" w:eastAsia="Times New Roman" w:hAnsi="Helvetica" w:cs="Helvetica"/>
                <w:kern w:val="36"/>
                <w:sz w:val="20"/>
                <w:szCs w:val="20"/>
                <w:lang w:val="vi-VN"/>
              </w:rPr>
              <w:t>, D</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lastRenderedPageBreak/>
              <w:t>32.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Công bố đủ điều kiện điều trị nghiện chất dạng thuốc phiện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33.</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Công bố lại đối với cơ sở đủ điều kiện điều trị nghiện chất dạng thuốc phiện khi có thay đ</w:t>
            </w:r>
            <w:r w:rsidRPr="00AA31E8">
              <w:rPr>
                <w:rFonts w:ascii="Helvetica" w:eastAsia="Times New Roman" w:hAnsi="Helvetica" w:cs="Helvetica"/>
                <w:kern w:val="36"/>
                <w:sz w:val="20"/>
                <w:szCs w:val="20"/>
              </w:rPr>
              <w:t>ổ</w:t>
            </w:r>
            <w:r w:rsidRPr="00AA31E8">
              <w:rPr>
                <w:rFonts w:ascii="Helvetica" w:eastAsia="Times New Roman" w:hAnsi="Helvetica" w:cs="Helvetica"/>
                <w:kern w:val="36"/>
                <w:sz w:val="20"/>
                <w:szCs w:val="20"/>
                <w:lang w:val="vi-VN"/>
              </w:rPr>
              <w:t>i về tên, địa chỉ, về cơ sở vật chất, trang thiết bị và nhân sự</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34.</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Công bố lại đối với cơ sở công bố đủ điều kiện điều trị nghiện chất dạng thuốc phiện bằng phương thức điện tử khi hồ sơ công bố bị hư hỏng hoặc bị mất</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35.</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Công bố lại đối với cơ sở điều trị sau khi hết thời hạn bị tạm đình chỉ</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36.</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Công bố cơ sở đủ điều kiện tiêm chủng</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Xác định trường hợp được bồi thường khi xảy ra tai biến trong tiêm chủng</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38.</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Phê duyệt lần đầu danh mục kỹ thuật của các cơ sở khám bệnh, chữa bệnh thuộc thẩm quyền quản lý của Sở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39.</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Phê duyệt bổ sung danh mục kỹ thuật của các cơ sở khám bệnh, chữa bệnh thuộc thẩm quyền quản lý của Sở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40.</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Công bố cơ sở  phòng xét nghiệm đạt tiêu chuẩn an toàn sinh học cấp I, II</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Công bố đủ điều kiện hoạt động đối với cơ sở dịch vụ xoa bóp (massage)</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lang w:val="vi-VN"/>
              </w:rPr>
              <w:t>Công bố đủ điều kiện hoạt động đối với cơ sở dịch vụ thẩm mỹ</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43.</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Cấp giấy xác nhận nội dung quảng cáo dịch vụ khám bệnh, chữa bệnh</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44.</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textAlignment w:val="baseline"/>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Cấp lại giấy xác nhận nội dung quảng cáo dịch vụ khám bệnh, chữa bệnh. (Trường hợp giấy xác nhận nội dung quảng cáo còn hiệu lực nhưng có thay đổi về tên, địa chỉ của tổ chức, cá nhân chịu trách nhiệm đưa sản phẩm, hàng hóa, dịch vụ ra thị trường và không thay đổi nội dung quảng cáo)</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45.</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jc w:val="both"/>
              <w:textAlignment w:val="baseline"/>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lại giấy xác nhận nội dung quảng cáo dịch vụ khám bệnh, chữa bệnh trong trường hợp bị mất hoặc bị hư hỏng</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46.</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Cấp giấy chứng nhận bài thuốc gia truyền</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giấy chứng nhận bị phơi nhiễm với HIV do tai nạn rủi ro nghề nghiệp</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48.</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giấy chứng nhận bị nhiễm HIV do tai nạn rủi ro nghề nghiệp</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49.</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giấy chứng nhận là lương y</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50.</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Cấp lại giấy chứng nhận là lương y</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51.</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Công bố cơ sở đủ điều kiện sản xuất chế phẩm diệt côn trùng, diệt khuẩn dùng trong lĩnh vực gia dụng và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52.</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hd w:val="clear" w:color="auto" w:fill="FFFFFF"/>
              <w:spacing w:after="120" w:line="240" w:lineRule="auto"/>
              <w:outlineLvl w:val="0"/>
              <w:rPr>
                <w:rFonts w:ascii="Helvetica" w:eastAsia="Times New Roman" w:hAnsi="Helvetica" w:cs="Helvetica"/>
                <w:b/>
                <w:bCs/>
                <w:color w:val="646464"/>
                <w:kern w:val="36"/>
                <w:sz w:val="54"/>
                <w:szCs w:val="54"/>
              </w:rPr>
            </w:pPr>
            <w:r w:rsidRPr="00AA31E8">
              <w:rPr>
                <w:rFonts w:ascii="Helvetica" w:eastAsia="Times New Roman" w:hAnsi="Helvetica" w:cs="Helvetica"/>
                <w:kern w:val="36"/>
                <w:sz w:val="20"/>
                <w:szCs w:val="20"/>
              </w:rPr>
              <w:t>Công bố cơ sở đủ điều kiện cung cấp dịch vụ diệt côn trùng, diệt khuẩn trong lĩnh vực gia dụng và y tế bằng chế phẩm</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53.</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Cho phép cơ sở khám bệnh, chữa bệnh được tiếp tục hoạt động khám bệnh, chữa bệnh sau khi bị đình chỉ hoạt động chuyên môn thuộc thẩm quyền của Sở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54.</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Cho phép đoàn trong nước, nước ngoài khám bệnh, chữa bệnh nhân đạo.</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55.</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Cho phép đối với cá nhân trong nước, nước ngoài thực hiện khám bệnh, chữa bệnh nhân đạo.</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56.</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Cho phép người hành nghề được tiếp tục hành nghề khám bệnh, chữa bệnh sau khi bị đình chỉ hoạt động chuyên môn thuộc thẩm quyền của Sở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57.</w:t>
            </w:r>
          </w:p>
        </w:tc>
        <w:tc>
          <w:tcPr>
            <w:tcW w:w="6769" w:type="dxa"/>
            <w:tcBorders>
              <w:top w:val="nil"/>
              <w:left w:val="nil"/>
              <w:bottom w:val="single" w:sz="8" w:space="0" w:color="auto"/>
              <w:right w:val="single" w:sz="8" w:space="0" w:color="auto"/>
            </w:tcBorders>
            <w:shd w:val="clear" w:color="auto" w:fill="FFFFFF"/>
            <w:vAlign w:val="bottom"/>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Thông báo hoạt động đối với tổ chức tư vấn về phòng, chống HIV/AIDS</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9180" w:type="dxa"/>
            <w:gridSpan w:val="3"/>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b/>
                <w:bCs/>
                <w:color w:val="646464"/>
                <w:sz w:val="20"/>
                <w:szCs w:val="20"/>
              </w:rPr>
              <w:t>II. Lĩnh vực An toàn vệ sinh thực phẩm</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1.</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hd w:val="clear" w:color="auto" w:fill="FFFFFF"/>
              <w:spacing w:after="120" w:line="240" w:lineRule="auto"/>
              <w:textAlignment w:val="baseline"/>
              <w:outlineLvl w:val="1"/>
              <w:rPr>
                <w:rFonts w:ascii="Helvetica" w:eastAsia="Times New Roman" w:hAnsi="Helvetica" w:cs="Helvetica"/>
                <w:b/>
                <w:bCs/>
                <w:color w:val="646464"/>
                <w:sz w:val="45"/>
                <w:szCs w:val="45"/>
              </w:rPr>
            </w:pPr>
            <w:r w:rsidRPr="00AA31E8">
              <w:rPr>
                <w:rFonts w:ascii="Helvetica" w:eastAsia="Times New Roman" w:hAnsi="Helvetica" w:cs="Helvetica"/>
                <w:sz w:val="20"/>
                <w:szCs w:val="20"/>
                <w:lang w:val="vi-VN"/>
              </w:rPr>
              <w:t>Cấp giấy xác nhận kiến thức về an toàn thực phẩm </w:t>
            </w:r>
            <w:r w:rsidRPr="00AA31E8">
              <w:rPr>
                <w:rFonts w:ascii="Helvetica" w:eastAsia="Times New Roman" w:hAnsi="Helvetica" w:cs="Helvetica"/>
                <w:sz w:val="20"/>
                <w:szCs w:val="20"/>
              </w:rPr>
              <w:t>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lastRenderedPageBreak/>
              <w:t>2.</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vi-VN"/>
              </w:rPr>
              <w:t>Cấp giấy chứng nhận cơ sở đủ điều kiện an toàn thực phẩm</w:t>
            </w:r>
            <w:r w:rsidRPr="00AA31E8">
              <w:rPr>
                <w:rFonts w:ascii="Helvetica" w:eastAsia="Times New Roman" w:hAnsi="Helvetica" w:cs="Helvetica"/>
                <w:color w:val="646464"/>
                <w:sz w:val="20"/>
                <w:szCs w:val="20"/>
              </w:rPr>
              <w:t> 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3.</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vi-VN"/>
              </w:rPr>
              <w:t>Cấp đổi giấy chứng nhận cơ sở đủ điều kiện an toàn thực phẩm</w:t>
            </w:r>
            <w:r w:rsidRPr="00AA31E8">
              <w:rPr>
                <w:rFonts w:ascii="Helvetica" w:eastAsia="Times New Roman" w:hAnsi="Helvetica" w:cs="Helvetica"/>
                <w:color w:val="646464"/>
                <w:sz w:val="20"/>
                <w:szCs w:val="20"/>
              </w:rPr>
              <w:t> 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4.</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jc w:val="both"/>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vi-VN"/>
              </w:rPr>
              <w:t>Cấp giấy tiếp nhận bản công bố hợp quy đối với sản phẩm đã có quy chuẩn kỹ thuật dựa trên kết quả chứng nhận hợp quy của tổ chức chứng nhận hợp quy được chỉ định (bên thứ ba) </w:t>
            </w:r>
            <w:r w:rsidRPr="00AA31E8">
              <w:rPr>
                <w:rFonts w:ascii="Helvetica" w:eastAsia="Times New Roman" w:hAnsi="Helvetica" w:cs="Helvetica"/>
                <w:color w:val="646464"/>
                <w:sz w:val="20"/>
                <w:szCs w:val="20"/>
              </w:rPr>
              <w:t>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5.</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pacing w:after="120" w:line="240" w:lineRule="auto"/>
              <w:textAlignment w:val="baseline"/>
              <w:outlineLvl w:val="1"/>
              <w:rPr>
                <w:rFonts w:ascii="Helvetica" w:eastAsia="Times New Roman" w:hAnsi="Helvetica" w:cs="Helvetica"/>
                <w:b/>
                <w:bCs/>
                <w:color w:val="646464"/>
                <w:sz w:val="45"/>
                <w:szCs w:val="45"/>
              </w:rPr>
            </w:pPr>
            <w:r w:rsidRPr="00AA31E8">
              <w:rPr>
                <w:rFonts w:ascii="Helvetica" w:eastAsia="Times New Roman" w:hAnsi="Helvetica" w:cs="Helvetica"/>
                <w:sz w:val="20"/>
                <w:szCs w:val="20"/>
              </w:rPr>
              <w:t>Cấp giấy tiếp nhận bản công bố hợp quy đối với sản phẩm đã có quy chuẩn kỹ thuật dựa trên kết quả tự đánh giá của tổ chức, cá nhân sản xuất, kinh doanh thực phẩm (bên thứ nhất) hoặc Cấp giấy xác nhận bản công bố phù hợp quy định an toàn thực phẩm đối với sản phẩm chưa có quy chuẩn kỹ thuật sản xuất trong nước (trừ thực phẩm chức năng và thực phẩm tăng cường vi chất dinh dưỡng) 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6.</w:t>
            </w:r>
          </w:p>
        </w:tc>
        <w:tc>
          <w:tcPr>
            <w:tcW w:w="6769" w:type="dxa"/>
            <w:tcBorders>
              <w:top w:val="nil"/>
              <w:left w:val="nil"/>
              <w:bottom w:val="single" w:sz="8" w:space="0" w:color="auto"/>
              <w:right w:val="single" w:sz="8" w:space="0" w:color="auto"/>
            </w:tcBorders>
            <w:shd w:val="clear" w:color="auto" w:fill="FFFFFF"/>
            <w:hideMark/>
          </w:tcPr>
          <w:p w:rsidR="00AA31E8" w:rsidRPr="00AA31E8" w:rsidRDefault="00AA31E8" w:rsidP="00AA31E8">
            <w:pPr>
              <w:shd w:val="clear" w:color="auto" w:fill="FFFFFF"/>
              <w:spacing w:after="120" w:line="240" w:lineRule="auto"/>
              <w:textAlignment w:val="baseline"/>
              <w:outlineLvl w:val="1"/>
              <w:rPr>
                <w:rFonts w:ascii="Helvetica" w:eastAsia="Times New Roman" w:hAnsi="Helvetica" w:cs="Helvetica"/>
                <w:b/>
                <w:bCs/>
                <w:color w:val="646464"/>
                <w:sz w:val="45"/>
                <w:szCs w:val="45"/>
              </w:rPr>
            </w:pPr>
            <w:r w:rsidRPr="00AA31E8">
              <w:rPr>
                <w:rFonts w:ascii="Helvetica" w:eastAsia="Times New Roman" w:hAnsi="Helvetica" w:cs="Helvetica"/>
                <w:sz w:val="20"/>
                <w:szCs w:val="20"/>
              </w:rPr>
              <w:t>Cấp lại Giấy Tiếp nhận bản công bố hợp quy và Giấy Xác nhận công bố phù hợp quy định an toàn thực phẩm trong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r w:rsidR="00AA31E8" w:rsidRPr="00AA31E8" w:rsidTr="00AA31E8">
        <w:tc>
          <w:tcPr>
            <w:tcW w:w="852" w:type="dxa"/>
            <w:tcBorders>
              <w:top w:val="nil"/>
              <w:left w:val="single" w:sz="8" w:space="0" w:color="auto"/>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rPr>
              <w:t>7.</w:t>
            </w:r>
          </w:p>
        </w:tc>
        <w:tc>
          <w:tcPr>
            <w:tcW w:w="676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outlineLvl w:val="1"/>
              <w:rPr>
                <w:rFonts w:ascii="Helvetica" w:eastAsia="Times New Roman" w:hAnsi="Helvetica" w:cs="Helvetica"/>
                <w:b/>
                <w:bCs/>
                <w:color w:val="646464"/>
                <w:sz w:val="45"/>
                <w:szCs w:val="45"/>
              </w:rPr>
            </w:pPr>
            <w:r w:rsidRPr="00AA31E8">
              <w:rPr>
                <w:rFonts w:ascii="Helvetica" w:eastAsia="Times New Roman" w:hAnsi="Helvetica" w:cs="Helvetica"/>
                <w:sz w:val="20"/>
                <w:szCs w:val="20"/>
                <w:shd w:val="clear" w:color="auto" w:fill="FFFFFF"/>
              </w:rPr>
              <w:t>C</w:t>
            </w:r>
            <w:r w:rsidRPr="00AA31E8">
              <w:rPr>
                <w:rFonts w:ascii="Helvetica" w:eastAsia="Times New Roman" w:hAnsi="Helvetica" w:cs="Helvetica"/>
                <w:sz w:val="20"/>
                <w:szCs w:val="20"/>
              </w:rPr>
              <w:t>ấp giấy xác nhận nội dung quảng cáo thực phẩm thuộc quản lý của ngành y tế như sau: nước uống đóng chai, nước khoáng thiên nhiên; phụ gia thực phẩm, chất hỗ trợ chế biến thực phẩm; dụng cụ, vật liệu bao gói chứa đựng thực phẩm trong quá trình sản xuất, chế biến, kinh doanh thuộc lĩnh vực y tế</w:t>
            </w:r>
          </w:p>
        </w:tc>
        <w:tc>
          <w:tcPr>
            <w:tcW w:w="1559" w:type="dxa"/>
            <w:tcBorders>
              <w:top w:val="nil"/>
              <w:left w:val="nil"/>
              <w:bottom w:val="single" w:sz="8" w:space="0" w:color="auto"/>
              <w:right w:val="single" w:sz="8" w:space="0" w:color="auto"/>
            </w:tcBorders>
            <w:shd w:val="clear" w:color="auto" w:fill="FFFFFF"/>
            <w:vAlign w:val="center"/>
            <w:hideMark/>
          </w:tcPr>
          <w:p w:rsidR="00AA31E8" w:rsidRPr="00AA31E8" w:rsidRDefault="00AA31E8" w:rsidP="00AA31E8">
            <w:pPr>
              <w:spacing w:after="120" w:line="240" w:lineRule="auto"/>
              <w:jc w:val="center"/>
              <w:rPr>
                <w:rFonts w:ascii="Helvetica" w:eastAsia="Times New Roman" w:hAnsi="Helvetica" w:cs="Helvetica"/>
                <w:color w:val="646464"/>
                <w:sz w:val="21"/>
                <w:szCs w:val="21"/>
              </w:rPr>
            </w:pPr>
            <w:r w:rsidRPr="00AA31E8">
              <w:rPr>
                <w:rFonts w:ascii="Helvetica" w:eastAsia="Times New Roman" w:hAnsi="Helvetica" w:cs="Helvetica"/>
                <w:color w:val="646464"/>
                <w:sz w:val="20"/>
                <w:szCs w:val="20"/>
                <w:lang w:val="hr-HR"/>
              </w:rPr>
              <w:t> </w:t>
            </w:r>
          </w:p>
        </w:tc>
      </w:tr>
    </w:tbl>
    <w:p w:rsidR="001840C7" w:rsidRDefault="001840C7"/>
    <w:sectPr w:rsidR="001840C7" w:rsidSect="00FE3A6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E8"/>
    <w:rsid w:val="001840C7"/>
    <w:rsid w:val="004801D5"/>
    <w:rsid w:val="00AA31E8"/>
    <w:rsid w:val="00BF54A2"/>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1E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A31E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1E8"/>
    <w:rPr>
      <w:rFonts w:eastAsia="Times New Roman"/>
      <w:b/>
      <w:bCs/>
      <w:kern w:val="36"/>
      <w:sz w:val="48"/>
      <w:szCs w:val="48"/>
    </w:rPr>
  </w:style>
  <w:style w:type="character" w:customStyle="1" w:styleId="Heading2Char">
    <w:name w:val="Heading 2 Char"/>
    <w:basedOn w:val="DefaultParagraphFont"/>
    <w:link w:val="Heading2"/>
    <w:uiPriority w:val="9"/>
    <w:rsid w:val="00AA31E8"/>
    <w:rPr>
      <w:rFonts w:eastAsia="Times New Roman"/>
      <w:b/>
      <w:bCs/>
      <w:sz w:val="36"/>
      <w:szCs w:val="36"/>
    </w:rPr>
  </w:style>
  <w:style w:type="paragraph" w:styleId="NormalWeb">
    <w:name w:val="Normal (Web)"/>
    <w:basedOn w:val="Normal"/>
    <w:uiPriority w:val="99"/>
    <w:unhideWhenUsed/>
    <w:rsid w:val="00AA31E8"/>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AA3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31E8"/>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A31E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1E8"/>
    <w:rPr>
      <w:rFonts w:eastAsia="Times New Roman"/>
      <w:b/>
      <w:bCs/>
      <w:kern w:val="36"/>
      <w:sz w:val="48"/>
      <w:szCs w:val="48"/>
    </w:rPr>
  </w:style>
  <w:style w:type="character" w:customStyle="1" w:styleId="Heading2Char">
    <w:name w:val="Heading 2 Char"/>
    <w:basedOn w:val="DefaultParagraphFont"/>
    <w:link w:val="Heading2"/>
    <w:uiPriority w:val="9"/>
    <w:rsid w:val="00AA31E8"/>
    <w:rPr>
      <w:rFonts w:eastAsia="Times New Roman"/>
      <w:b/>
      <w:bCs/>
      <w:sz w:val="36"/>
      <w:szCs w:val="36"/>
    </w:rPr>
  </w:style>
  <w:style w:type="paragraph" w:styleId="NormalWeb">
    <w:name w:val="Normal (Web)"/>
    <w:basedOn w:val="Normal"/>
    <w:uiPriority w:val="99"/>
    <w:unhideWhenUsed/>
    <w:rsid w:val="00AA31E8"/>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AA3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408/STP-KST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nbanphapluat.co/van-ban-lien-quan?id=05/2014/TT-BT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van-ban-lien-quan?id=48/2013/N%C4%90-CP" TargetMode="External"/><Relationship Id="rId11" Type="http://schemas.openxmlformats.org/officeDocument/2006/relationships/hyperlink" Target="https://vanbanphapluat.co/van-ban-lien-quan?id=1470/Q%C4%90-UBND" TargetMode="External"/><Relationship Id="rId5" Type="http://schemas.openxmlformats.org/officeDocument/2006/relationships/hyperlink" Target="https://vanbanphapluat.co/van-ban-lien-quan?id=63/2010/N%C4%90-CP" TargetMode="External"/><Relationship Id="rId10" Type="http://schemas.openxmlformats.org/officeDocument/2006/relationships/hyperlink" Target="https://vanbanphapluat.co/van-ban-lien-quan?id=1470/Q%C4%90-UBND" TargetMode="External"/><Relationship Id="rId4" Type="http://schemas.openxmlformats.org/officeDocument/2006/relationships/webSettings" Target="webSettings.xml"/><Relationship Id="rId9" Type="http://schemas.openxmlformats.org/officeDocument/2006/relationships/hyperlink" Target="https://vanbanphapluat.co/van-ban-lien-quan?id=3768/Q%C4%90-UB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Truyenthong1</dc:creator>
  <cp:lastModifiedBy>Truyenthong1</cp:lastModifiedBy>
  <cp:revision>4</cp:revision>
  <dcterms:created xsi:type="dcterms:W3CDTF">2017-10-05T02:04:00Z</dcterms:created>
  <dcterms:modified xsi:type="dcterms:W3CDTF">2017-10-05T02:43:00Z</dcterms:modified>
</cp:coreProperties>
</file>